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37" w:rsidRPr="00412637" w:rsidRDefault="000A2E78" w:rsidP="00B57CEA">
      <w:pPr>
        <w:spacing w:after="0" w:line="360" w:lineRule="auto"/>
        <w:rPr>
          <w:rFonts w:ascii="Calibri" w:hAnsi="Calibri" w:cs="Arial"/>
          <w:b/>
          <w:sz w:val="32"/>
          <w:szCs w:val="32"/>
        </w:rPr>
      </w:pPr>
      <w:bookmarkStart w:id="0" w:name="_GoBack"/>
      <w:bookmarkEnd w:id="0"/>
      <w:r>
        <w:rPr>
          <w:rFonts w:ascii="Calibri" w:hAnsi="Calibri" w:cs="Arial"/>
          <w:b/>
          <w:sz w:val="32"/>
          <w:szCs w:val="32"/>
        </w:rPr>
        <w:t xml:space="preserve">Proposal for </w:t>
      </w:r>
      <w:r w:rsidR="00A1418A" w:rsidRPr="00412637">
        <w:rPr>
          <w:rFonts w:ascii="Calibri" w:hAnsi="Calibri" w:cs="Arial"/>
          <w:b/>
          <w:sz w:val="32"/>
          <w:szCs w:val="32"/>
        </w:rPr>
        <w:t>asset pooling in the LGPS</w:t>
      </w:r>
      <w:r w:rsidR="00A1418A">
        <w:rPr>
          <w:rFonts w:ascii="Calibri" w:hAnsi="Calibri" w:cs="Arial"/>
          <w:b/>
          <w:sz w:val="32"/>
          <w:szCs w:val="32"/>
        </w:rPr>
        <w:t xml:space="preserve"> – </w:t>
      </w:r>
      <w:r w:rsidR="00D618F0">
        <w:rPr>
          <w:rFonts w:ascii="Calibri" w:hAnsi="Calibri" w:cs="Arial"/>
          <w:b/>
          <w:sz w:val="32"/>
          <w:szCs w:val="32"/>
        </w:rPr>
        <w:t xml:space="preserve">15 </w:t>
      </w:r>
      <w:r w:rsidR="00A1418A">
        <w:rPr>
          <w:rFonts w:ascii="Calibri" w:hAnsi="Calibri" w:cs="Arial"/>
          <w:b/>
          <w:sz w:val="32"/>
          <w:szCs w:val="32"/>
        </w:rPr>
        <w:t>July 201</w:t>
      </w:r>
      <w:r w:rsidR="00CF0CA7">
        <w:rPr>
          <w:rFonts w:ascii="Calibri" w:hAnsi="Calibri" w:cs="Arial"/>
          <w:b/>
          <w:sz w:val="32"/>
          <w:szCs w:val="32"/>
        </w:rPr>
        <w:t>6</w:t>
      </w:r>
    </w:p>
    <w:tbl>
      <w:tblPr>
        <w:tblStyle w:val="TableGrid"/>
        <w:tblW w:w="0" w:type="auto"/>
        <w:tblLook w:val="04A0" w:firstRow="1" w:lastRow="0" w:firstColumn="1" w:lastColumn="0" w:noHBand="0" w:noVBand="1"/>
      </w:tblPr>
      <w:tblGrid>
        <w:gridCol w:w="2830"/>
        <w:gridCol w:w="6906"/>
      </w:tblGrid>
      <w:tr w:rsidR="00412637" w:rsidRPr="00412637" w:rsidTr="00412637">
        <w:tc>
          <w:tcPr>
            <w:tcW w:w="2830" w:type="dxa"/>
          </w:tcPr>
          <w:p w:rsidR="00412637" w:rsidRPr="00412637" w:rsidRDefault="00412637" w:rsidP="00CF0CA7">
            <w:pPr>
              <w:spacing w:line="360" w:lineRule="auto"/>
              <w:rPr>
                <w:rFonts w:ascii="Calibri" w:hAnsi="Calibri" w:cs="Arial"/>
                <w:sz w:val="24"/>
                <w:szCs w:val="24"/>
              </w:rPr>
            </w:pPr>
            <w:r w:rsidRPr="00412637">
              <w:rPr>
                <w:rFonts w:ascii="Calibri" w:hAnsi="Calibri" w:cs="Arial"/>
                <w:sz w:val="24"/>
                <w:szCs w:val="24"/>
              </w:rPr>
              <w:t>Name of pool</w:t>
            </w:r>
          </w:p>
        </w:tc>
        <w:tc>
          <w:tcPr>
            <w:tcW w:w="6906" w:type="dxa"/>
          </w:tcPr>
          <w:p w:rsidR="00412637" w:rsidRPr="00141F6B" w:rsidRDefault="00996B90" w:rsidP="00CF0CA7">
            <w:pPr>
              <w:spacing w:line="360" w:lineRule="auto"/>
              <w:rPr>
                <w:rFonts w:ascii="Calibri" w:hAnsi="Calibri" w:cs="Arial"/>
                <w:b/>
                <w:sz w:val="28"/>
                <w:szCs w:val="28"/>
              </w:rPr>
            </w:pPr>
            <w:r w:rsidRPr="00141F6B">
              <w:rPr>
                <w:rFonts w:ascii="Calibri" w:hAnsi="Calibri" w:cs="Arial"/>
                <w:b/>
                <w:sz w:val="28"/>
                <w:szCs w:val="28"/>
              </w:rPr>
              <w:t xml:space="preserve">London CIV </w:t>
            </w:r>
          </w:p>
        </w:tc>
      </w:tr>
      <w:tr w:rsidR="00412637" w:rsidRPr="00412637" w:rsidTr="00412637">
        <w:tc>
          <w:tcPr>
            <w:tcW w:w="2830" w:type="dxa"/>
          </w:tcPr>
          <w:p w:rsidR="00412637" w:rsidRPr="00412637" w:rsidRDefault="00412637" w:rsidP="00292B56">
            <w:pPr>
              <w:spacing w:line="360" w:lineRule="auto"/>
              <w:rPr>
                <w:rFonts w:ascii="Calibri" w:hAnsi="Calibri" w:cs="Arial"/>
                <w:sz w:val="24"/>
                <w:szCs w:val="24"/>
              </w:rPr>
            </w:pPr>
            <w:r w:rsidRPr="00412637">
              <w:rPr>
                <w:rFonts w:ascii="Calibri" w:hAnsi="Calibri" w:cs="Arial"/>
                <w:sz w:val="24"/>
                <w:szCs w:val="24"/>
              </w:rPr>
              <w:t xml:space="preserve">Participating </w:t>
            </w:r>
            <w:r w:rsidR="00BB0E3C" w:rsidRPr="00BB0E3C">
              <w:rPr>
                <w:rFonts w:ascii="Calibri" w:hAnsi="Calibri" w:cs="Arial"/>
                <w:sz w:val="24"/>
                <w:szCs w:val="24"/>
              </w:rPr>
              <w:t>authorities</w:t>
            </w:r>
          </w:p>
        </w:tc>
        <w:tc>
          <w:tcPr>
            <w:tcW w:w="6906" w:type="dxa"/>
          </w:tcPr>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Barking and Dagenham</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Barnet</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Bexley</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Brent</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Camden</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City of London Corporation</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Croydon</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Ealing</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Enfield</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Royal Borough of Greenwich</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Hackney</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Hammersmith and Fulham</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 xml:space="preserve">London Borough of Haringey </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Harrow</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Havering</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Hillingdon</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Hounslow</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Islington</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Royal Borough of Kensington and Chelsea</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Royal Borough of Kingston upon Thames</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Lambeth</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Lewisham</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Merton</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Newham</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Redbridge</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Richmond upon Thames</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Southwark</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Sutton</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Tower Hamlets</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lastRenderedPageBreak/>
              <w:t>London Borough of Waltham Forest</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London Borough of Wandsworth</w:t>
            </w:r>
          </w:p>
          <w:p w:rsidR="00996B90" w:rsidRPr="00141F6B" w:rsidRDefault="00996B90" w:rsidP="00996B90">
            <w:pPr>
              <w:spacing w:line="360" w:lineRule="auto"/>
              <w:rPr>
                <w:rFonts w:ascii="Calibri" w:hAnsi="Calibri" w:cs="Arial"/>
                <w:color w:val="0070C0"/>
                <w:sz w:val="24"/>
                <w:szCs w:val="24"/>
              </w:rPr>
            </w:pPr>
            <w:r w:rsidRPr="00141F6B">
              <w:rPr>
                <w:rFonts w:ascii="Calibri" w:hAnsi="Calibri" w:cs="Arial"/>
                <w:color w:val="0070C0"/>
                <w:sz w:val="24"/>
                <w:szCs w:val="24"/>
              </w:rPr>
              <w:t>Westminster City Council</w:t>
            </w:r>
          </w:p>
          <w:p w:rsidR="00412637" w:rsidRPr="00141F6B" w:rsidRDefault="00412637" w:rsidP="00D618F0">
            <w:pPr>
              <w:spacing w:line="360" w:lineRule="auto"/>
              <w:rPr>
                <w:rFonts w:ascii="Calibri" w:hAnsi="Calibri" w:cs="Arial"/>
                <w:color w:val="0070C0"/>
                <w:sz w:val="24"/>
                <w:szCs w:val="24"/>
              </w:rPr>
            </w:pPr>
          </w:p>
        </w:tc>
      </w:tr>
    </w:tbl>
    <w:p w:rsidR="00412637" w:rsidRPr="00A56BCB" w:rsidRDefault="00412637" w:rsidP="00B57CEA">
      <w:pPr>
        <w:spacing w:after="0" w:line="360" w:lineRule="auto"/>
        <w:rPr>
          <w:rFonts w:ascii="Calibri" w:hAnsi="Calibri"/>
          <w:sz w:val="24"/>
        </w:rPr>
      </w:pPr>
    </w:p>
    <w:p w:rsidR="00EE21B0" w:rsidRPr="00967E40" w:rsidRDefault="00EE21B0" w:rsidP="00B57CEA">
      <w:pPr>
        <w:spacing w:after="0" w:line="360" w:lineRule="auto"/>
        <w:rPr>
          <w:rFonts w:ascii="Calibri" w:hAnsi="Calibri" w:cs="Arial"/>
          <w:b/>
          <w:sz w:val="24"/>
          <w:szCs w:val="24"/>
        </w:rPr>
      </w:pPr>
      <w:r w:rsidRPr="00967E40">
        <w:rPr>
          <w:rFonts w:ascii="Calibri" w:hAnsi="Calibri" w:cs="Arial"/>
          <w:b/>
          <w:sz w:val="24"/>
          <w:szCs w:val="24"/>
        </w:rPr>
        <w:t>Criteri</w:t>
      </w:r>
      <w:r w:rsidR="000A2E78">
        <w:rPr>
          <w:rFonts w:ascii="Calibri" w:hAnsi="Calibri" w:cs="Arial"/>
          <w:b/>
          <w:sz w:val="24"/>
          <w:szCs w:val="24"/>
        </w:rPr>
        <w:t>on</w:t>
      </w:r>
      <w:r w:rsidRPr="00967E40">
        <w:rPr>
          <w:rFonts w:ascii="Calibri" w:hAnsi="Calibri" w:cs="Arial"/>
          <w:b/>
          <w:sz w:val="24"/>
          <w:szCs w:val="24"/>
        </w:rPr>
        <w:t xml:space="preserve"> A: Asset</w:t>
      </w:r>
      <w:r w:rsidR="000A2E78">
        <w:rPr>
          <w:rFonts w:ascii="Calibri" w:hAnsi="Calibri" w:cs="Arial"/>
          <w:b/>
          <w:sz w:val="24"/>
          <w:szCs w:val="24"/>
        </w:rPr>
        <w:t xml:space="preserve"> p</w:t>
      </w:r>
      <w:r w:rsidRPr="00967E40">
        <w:rPr>
          <w:rFonts w:ascii="Calibri" w:hAnsi="Calibri" w:cs="Arial"/>
          <w:b/>
          <w:sz w:val="24"/>
          <w:szCs w:val="24"/>
        </w:rPr>
        <w:t>ool</w:t>
      </w:r>
      <w:r w:rsidR="00A1418A">
        <w:rPr>
          <w:rFonts w:ascii="Calibri" w:hAnsi="Calibri" w:cs="Arial"/>
          <w:b/>
          <w:sz w:val="24"/>
          <w:szCs w:val="24"/>
        </w:rPr>
        <w:t>s that achieve the benefits of scale</w:t>
      </w:r>
    </w:p>
    <w:tbl>
      <w:tblPr>
        <w:tblStyle w:val="TableGrid"/>
        <w:tblW w:w="9781" w:type="dxa"/>
        <w:tblInd w:w="-5" w:type="dxa"/>
        <w:tblLook w:val="04A0" w:firstRow="1" w:lastRow="0" w:firstColumn="1" w:lastColumn="0" w:noHBand="0" w:noVBand="1"/>
      </w:tblPr>
      <w:tblGrid>
        <w:gridCol w:w="5462"/>
        <w:gridCol w:w="4319"/>
      </w:tblGrid>
      <w:tr w:rsidR="001E2D6F" w:rsidRPr="001E2D6F" w:rsidTr="00412637">
        <w:tc>
          <w:tcPr>
            <w:tcW w:w="9781" w:type="dxa"/>
            <w:gridSpan w:val="2"/>
            <w:shd w:val="clear" w:color="auto" w:fill="000000" w:themeFill="text1"/>
          </w:tcPr>
          <w:p w:rsidR="001A4E2D" w:rsidRPr="001E2D6F" w:rsidRDefault="001A4E2D" w:rsidP="00092E30">
            <w:pPr>
              <w:pStyle w:val="ListParagraph"/>
              <w:numPr>
                <w:ilvl w:val="0"/>
                <w:numId w:val="1"/>
              </w:numPr>
              <w:spacing w:line="360" w:lineRule="auto"/>
              <w:rPr>
                <w:rFonts w:ascii="Calibri" w:hAnsi="Calibri" w:cs="Arial"/>
                <w:b/>
                <w:color w:val="FFFFFF" w:themeColor="background1"/>
                <w:sz w:val="24"/>
                <w:szCs w:val="24"/>
              </w:rPr>
            </w:pPr>
            <w:r w:rsidRPr="001E2D6F">
              <w:rPr>
                <w:rFonts w:ascii="Calibri" w:hAnsi="Calibri" w:cs="Arial"/>
                <w:b/>
                <w:color w:val="FFFFFF" w:themeColor="background1"/>
                <w:sz w:val="24"/>
                <w:szCs w:val="24"/>
              </w:rPr>
              <w:t>The size of the pool once fully operational</w:t>
            </w:r>
            <w:r w:rsidR="00292B56">
              <w:rPr>
                <w:rFonts w:ascii="Calibri" w:hAnsi="Calibri" w:cs="Arial"/>
                <w:b/>
                <w:color w:val="FFFFFF" w:themeColor="background1"/>
                <w:sz w:val="24"/>
                <w:szCs w:val="24"/>
              </w:rPr>
              <w:t>.</w:t>
            </w:r>
          </w:p>
        </w:tc>
      </w:tr>
      <w:tr w:rsidR="001A4E2D" w:rsidRPr="00967E40" w:rsidTr="00412637">
        <w:tc>
          <w:tcPr>
            <w:tcW w:w="5462" w:type="dxa"/>
          </w:tcPr>
          <w:p w:rsidR="001A4E2D" w:rsidRPr="00967E40" w:rsidRDefault="001A4E2D" w:rsidP="00092E30">
            <w:pPr>
              <w:pStyle w:val="ListParagraph"/>
              <w:numPr>
                <w:ilvl w:val="0"/>
                <w:numId w:val="2"/>
              </w:numPr>
              <w:tabs>
                <w:tab w:val="left" w:pos="1134"/>
              </w:tabs>
              <w:spacing w:line="360" w:lineRule="auto"/>
              <w:rPr>
                <w:rFonts w:ascii="Calibri" w:hAnsi="Calibri" w:cs="Arial"/>
                <w:sz w:val="24"/>
                <w:szCs w:val="24"/>
              </w:rPr>
            </w:pPr>
            <w:r w:rsidRPr="00A1418A">
              <w:rPr>
                <w:rFonts w:ascii="Calibri" w:hAnsi="Calibri" w:cs="Arial"/>
                <w:sz w:val="24"/>
                <w:szCs w:val="24"/>
              </w:rPr>
              <w:t>Please state the total value of assets (£b) to be invested via the pool once transition is complete (based on asset values as at 31.3.2015).</w:t>
            </w:r>
          </w:p>
        </w:tc>
        <w:tc>
          <w:tcPr>
            <w:tcW w:w="4319" w:type="dxa"/>
          </w:tcPr>
          <w:p w:rsidR="00863104" w:rsidRDefault="00863104" w:rsidP="001A4E2D">
            <w:pPr>
              <w:pStyle w:val="ListParagraph"/>
              <w:tabs>
                <w:tab w:val="left" w:pos="1134"/>
              </w:tabs>
              <w:spacing w:line="360" w:lineRule="auto"/>
              <w:rPr>
                <w:rFonts w:ascii="Calibri" w:hAnsi="Calibri" w:cs="Arial"/>
                <w:sz w:val="24"/>
                <w:szCs w:val="24"/>
              </w:rPr>
            </w:pPr>
          </w:p>
          <w:p w:rsidR="00996B90" w:rsidRPr="00B93649" w:rsidRDefault="00996B90" w:rsidP="00996B90">
            <w:pPr>
              <w:pStyle w:val="ListParagraph"/>
              <w:tabs>
                <w:tab w:val="left" w:pos="1134"/>
              </w:tabs>
              <w:spacing w:line="360" w:lineRule="auto"/>
              <w:rPr>
                <w:rFonts w:ascii="Calibri" w:hAnsi="Calibri" w:cs="Arial"/>
                <w:b/>
                <w:bCs/>
                <w:color w:val="4472C4" w:themeColor="accent5"/>
                <w:sz w:val="24"/>
                <w:szCs w:val="24"/>
              </w:rPr>
            </w:pPr>
            <w:r w:rsidRPr="00B93649">
              <w:rPr>
                <w:rFonts w:ascii="Calibri" w:hAnsi="Calibri" w:cs="Arial"/>
                <w:b/>
                <w:bCs/>
                <w:color w:val="4472C4" w:themeColor="accent5"/>
                <w:sz w:val="24"/>
                <w:szCs w:val="24"/>
              </w:rPr>
              <w:t>£29.096 bn. Inc Bromley</w:t>
            </w:r>
          </w:p>
          <w:p w:rsidR="00996B90" w:rsidRDefault="00996B90" w:rsidP="00996B90">
            <w:pPr>
              <w:pStyle w:val="ListParagraph"/>
              <w:tabs>
                <w:tab w:val="left" w:pos="1134"/>
              </w:tabs>
              <w:spacing w:line="360" w:lineRule="auto"/>
              <w:rPr>
                <w:rFonts w:ascii="Calibri" w:hAnsi="Calibri" w:cs="Arial"/>
                <w:b/>
                <w:bCs/>
                <w:color w:val="4472C4" w:themeColor="accent5"/>
                <w:sz w:val="24"/>
                <w:szCs w:val="24"/>
              </w:rPr>
            </w:pPr>
            <w:r w:rsidRPr="00B93649">
              <w:rPr>
                <w:rFonts w:ascii="Calibri" w:hAnsi="Calibri" w:cs="Arial"/>
                <w:b/>
                <w:bCs/>
                <w:color w:val="4472C4" w:themeColor="accent5"/>
                <w:sz w:val="24"/>
                <w:szCs w:val="24"/>
              </w:rPr>
              <w:t>£28.351 bn. Ex Bromley</w:t>
            </w:r>
          </w:p>
          <w:p w:rsidR="001A4E2D" w:rsidRPr="00967E40" w:rsidRDefault="00996B90" w:rsidP="00996B90">
            <w:pPr>
              <w:pStyle w:val="ListParagraph"/>
              <w:tabs>
                <w:tab w:val="left" w:pos="1134"/>
              </w:tabs>
              <w:spacing w:line="360" w:lineRule="auto"/>
              <w:rPr>
                <w:rFonts w:ascii="Calibri" w:hAnsi="Calibri" w:cs="Arial"/>
                <w:sz w:val="24"/>
                <w:szCs w:val="24"/>
              </w:rPr>
            </w:pPr>
            <w:r w:rsidRPr="00B93649">
              <w:rPr>
                <w:rFonts w:ascii="Calibri" w:hAnsi="Calibri" w:cs="Arial"/>
                <w:bCs/>
                <w:color w:val="4472C4" w:themeColor="accent5"/>
                <w:sz w:val="24"/>
                <w:szCs w:val="24"/>
              </w:rPr>
              <w:t>Nb – assumes all assets transferred by 2033</w:t>
            </w:r>
          </w:p>
        </w:tc>
      </w:tr>
    </w:tbl>
    <w:p w:rsidR="001A4E2D" w:rsidRPr="00967E40" w:rsidRDefault="001A4E2D" w:rsidP="00B57CEA">
      <w:pPr>
        <w:spacing w:after="0" w:line="360" w:lineRule="auto"/>
        <w:rPr>
          <w:rFonts w:ascii="Calibri" w:hAnsi="Calibri" w:cs="Arial"/>
          <w:sz w:val="24"/>
          <w:szCs w:val="24"/>
        </w:rPr>
      </w:pPr>
    </w:p>
    <w:tbl>
      <w:tblPr>
        <w:tblStyle w:val="TableGrid"/>
        <w:tblW w:w="9781" w:type="dxa"/>
        <w:tblInd w:w="-5" w:type="dxa"/>
        <w:tblLook w:val="04A0" w:firstRow="1" w:lastRow="0" w:firstColumn="1" w:lastColumn="0" w:noHBand="0" w:noVBand="1"/>
      </w:tblPr>
      <w:tblGrid>
        <w:gridCol w:w="5954"/>
        <w:gridCol w:w="3827"/>
      </w:tblGrid>
      <w:tr w:rsidR="001E2D6F" w:rsidRPr="001E2D6F" w:rsidTr="00412637">
        <w:tc>
          <w:tcPr>
            <w:tcW w:w="9781" w:type="dxa"/>
            <w:gridSpan w:val="2"/>
            <w:shd w:val="clear" w:color="auto" w:fill="000000" w:themeFill="text1"/>
          </w:tcPr>
          <w:p w:rsidR="001A4E2D" w:rsidRPr="001E2D6F" w:rsidRDefault="001A4E2D" w:rsidP="00092E30">
            <w:pPr>
              <w:pStyle w:val="ListParagraph"/>
              <w:numPr>
                <w:ilvl w:val="0"/>
                <w:numId w:val="1"/>
              </w:numPr>
              <w:spacing w:line="360" w:lineRule="auto"/>
              <w:rPr>
                <w:rFonts w:ascii="Calibri" w:hAnsi="Calibri" w:cs="Arial"/>
                <w:b/>
                <w:color w:val="FFFFFF" w:themeColor="background1"/>
                <w:sz w:val="24"/>
                <w:szCs w:val="24"/>
              </w:rPr>
            </w:pPr>
            <w:r w:rsidRPr="001E2D6F">
              <w:rPr>
                <w:rFonts w:ascii="Calibri" w:hAnsi="Calibri" w:cs="Arial"/>
                <w:b/>
                <w:color w:val="FFFFFF" w:themeColor="background1"/>
                <w:sz w:val="24"/>
                <w:szCs w:val="24"/>
              </w:rPr>
              <w:t>Assets which are proposed to be held outside the pool and the rationale for doing so.</w:t>
            </w:r>
          </w:p>
        </w:tc>
      </w:tr>
      <w:tr w:rsidR="001A4E2D" w:rsidRPr="00967E40" w:rsidTr="00412637">
        <w:tc>
          <w:tcPr>
            <w:tcW w:w="9781" w:type="dxa"/>
            <w:gridSpan w:val="2"/>
          </w:tcPr>
          <w:p w:rsidR="001A4E2D" w:rsidRPr="00967E40" w:rsidRDefault="001A4E2D" w:rsidP="00092E30">
            <w:pPr>
              <w:pStyle w:val="ListParagraph"/>
              <w:numPr>
                <w:ilvl w:val="0"/>
                <w:numId w:val="3"/>
              </w:numPr>
              <w:spacing w:line="360" w:lineRule="auto"/>
              <w:rPr>
                <w:rFonts w:ascii="Calibri" w:hAnsi="Calibri" w:cs="Arial"/>
                <w:sz w:val="24"/>
                <w:szCs w:val="24"/>
              </w:rPr>
            </w:pPr>
            <w:r w:rsidRPr="00967E40">
              <w:rPr>
                <w:rFonts w:ascii="Calibri" w:hAnsi="Calibri" w:cs="Arial"/>
                <w:sz w:val="24"/>
                <w:szCs w:val="24"/>
              </w:rPr>
              <w:t xml:space="preserve">Please provide a summary of the total amount and type of assets which are proposed </w:t>
            </w:r>
            <w:r w:rsidR="007B454A">
              <w:rPr>
                <w:rFonts w:ascii="Calibri" w:hAnsi="Calibri" w:cs="Arial"/>
                <w:sz w:val="24"/>
                <w:szCs w:val="24"/>
              </w:rPr>
              <w:t>to be held outside of the pool (once transition is complete</w:t>
            </w:r>
            <w:r w:rsidR="00292B56">
              <w:rPr>
                <w:rFonts w:ascii="Calibri" w:hAnsi="Calibri" w:cs="Arial"/>
                <w:sz w:val="24"/>
                <w:szCs w:val="24"/>
              </w:rPr>
              <w:t>,</w:t>
            </w:r>
            <w:r w:rsidR="007B454A">
              <w:rPr>
                <w:rFonts w:ascii="Calibri" w:hAnsi="Calibri" w:cs="Arial"/>
                <w:sz w:val="24"/>
                <w:szCs w:val="24"/>
              </w:rPr>
              <w:t xml:space="preserve"> based on asset values at 31.3.2015)</w:t>
            </w:r>
            <w:r w:rsidR="00292B56">
              <w:rPr>
                <w:rFonts w:ascii="Calibri" w:hAnsi="Calibri" w:cs="Arial"/>
                <w:sz w:val="24"/>
                <w:szCs w:val="24"/>
              </w:rPr>
              <w:t>.</w:t>
            </w:r>
          </w:p>
        </w:tc>
      </w:tr>
      <w:tr w:rsidR="001A4E2D" w:rsidRPr="00967E40" w:rsidTr="00412637">
        <w:tc>
          <w:tcPr>
            <w:tcW w:w="9781" w:type="dxa"/>
            <w:gridSpan w:val="2"/>
          </w:tcPr>
          <w:p w:rsidR="00996B90" w:rsidRPr="00B93649" w:rsidRDefault="001A4E2D" w:rsidP="00996B90">
            <w:pPr>
              <w:spacing w:line="360" w:lineRule="auto"/>
              <w:ind w:left="868"/>
              <w:rPr>
                <w:rFonts w:ascii="Calibri" w:hAnsi="Calibri" w:cs="Arial"/>
                <w:color w:val="4472C4" w:themeColor="accent5"/>
                <w:sz w:val="24"/>
                <w:szCs w:val="24"/>
              </w:rPr>
            </w:pPr>
            <w:r w:rsidRPr="00967E40">
              <w:rPr>
                <w:rFonts w:ascii="Calibri" w:hAnsi="Calibri" w:cs="Arial"/>
                <w:sz w:val="24"/>
                <w:szCs w:val="24"/>
              </w:rPr>
              <w:t>Total Value £</w:t>
            </w:r>
            <w:r w:rsidR="00996B90" w:rsidRPr="00B93649">
              <w:rPr>
                <w:rFonts w:ascii="Calibri" w:hAnsi="Calibri" w:cs="Arial"/>
                <w:color w:val="4472C4" w:themeColor="accent5"/>
                <w:sz w:val="24"/>
                <w:szCs w:val="24"/>
              </w:rPr>
              <w:t xml:space="preserve">£0bn </w:t>
            </w:r>
            <w:r w:rsidR="00996B90" w:rsidRPr="00141F6B">
              <w:rPr>
                <w:rFonts w:ascii="Calibri" w:hAnsi="Calibri" w:cs="Arial"/>
                <w:color w:val="FF0000"/>
                <w:sz w:val="24"/>
                <w:szCs w:val="24"/>
              </w:rPr>
              <w:t>– Pending fund responses</w:t>
            </w:r>
          </w:p>
          <w:p w:rsidR="001A4E2D" w:rsidRDefault="00996B90" w:rsidP="00996B90">
            <w:pPr>
              <w:spacing w:line="360" w:lineRule="auto"/>
              <w:ind w:left="868"/>
              <w:rPr>
                <w:rFonts w:ascii="Calibri" w:hAnsi="Calibri" w:cs="Arial"/>
                <w:color w:val="4472C4" w:themeColor="accent5"/>
                <w:sz w:val="24"/>
                <w:szCs w:val="24"/>
              </w:rPr>
            </w:pPr>
            <w:r w:rsidRPr="00B93649">
              <w:rPr>
                <w:rFonts w:ascii="Calibri" w:hAnsi="Calibri" w:cs="Arial"/>
                <w:color w:val="4472C4" w:themeColor="accent5"/>
                <w:sz w:val="24"/>
                <w:szCs w:val="24"/>
              </w:rPr>
              <w:t>Rationale – additional fund structures to be established alongside the ACS to hold other investments which either can’t be held in ACS or aren’t economical to do so</w:t>
            </w:r>
            <w:r w:rsidR="00394270">
              <w:rPr>
                <w:rFonts w:ascii="Calibri" w:hAnsi="Calibri" w:cs="Arial"/>
                <w:color w:val="4472C4" w:themeColor="accent5"/>
                <w:sz w:val="24"/>
                <w:szCs w:val="24"/>
              </w:rPr>
              <w:t>.</w:t>
            </w:r>
            <w:r w:rsidR="009F15E9">
              <w:rPr>
                <w:rFonts w:ascii="Calibri" w:hAnsi="Calibri" w:cs="Arial"/>
                <w:color w:val="4472C4" w:themeColor="accent5"/>
                <w:sz w:val="24"/>
                <w:szCs w:val="24"/>
              </w:rPr>
              <w:t xml:space="preserve"> However in the interim, we anticipate that around 10% of the assets may be in illiquid assets and are therefore likely to remain outside of the pool in the short to medium term. </w:t>
            </w:r>
          </w:p>
          <w:p w:rsidR="001A4E2D" w:rsidRPr="00967E40" w:rsidRDefault="008575DF" w:rsidP="001A4E2D">
            <w:pPr>
              <w:spacing w:line="360" w:lineRule="auto"/>
              <w:ind w:left="868"/>
              <w:rPr>
                <w:rFonts w:ascii="Calibri" w:hAnsi="Calibri" w:cs="Arial"/>
                <w:sz w:val="24"/>
                <w:szCs w:val="24"/>
              </w:rPr>
            </w:pPr>
            <w:r>
              <w:rPr>
                <w:rFonts w:ascii="Calibri" w:hAnsi="Calibri" w:cs="Arial"/>
                <w:i/>
                <w:color w:val="FF0000"/>
                <w:sz w:val="24"/>
                <w:szCs w:val="24"/>
              </w:rPr>
              <w:t xml:space="preserve">NB comments to be updated post </w:t>
            </w:r>
            <w:r w:rsidR="009F15E9">
              <w:rPr>
                <w:rFonts w:ascii="Calibri" w:hAnsi="Calibri" w:cs="Arial"/>
                <w:i/>
                <w:color w:val="FF0000"/>
                <w:sz w:val="24"/>
                <w:szCs w:val="24"/>
              </w:rPr>
              <w:t>Authorit</w:t>
            </w:r>
            <w:r>
              <w:rPr>
                <w:rFonts w:ascii="Calibri" w:hAnsi="Calibri" w:cs="Arial"/>
                <w:i/>
                <w:color w:val="FF0000"/>
                <w:sz w:val="24"/>
                <w:szCs w:val="24"/>
              </w:rPr>
              <w:t>y responses</w:t>
            </w:r>
          </w:p>
          <w:p w:rsidR="001A4E2D" w:rsidRPr="00967E40" w:rsidRDefault="001A4E2D" w:rsidP="001A4E2D">
            <w:pPr>
              <w:spacing w:line="360" w:lineRule="auto"/>
              <w:ind w:left="868"/>
              <w:rPr>
                <w:rFonts w:ascii="Calibri" w:hAnsi="Calibri" w:cs="Arial"/>
                <w:sz w:val="24"/>
                <w:szCs w:val="24"/>
              </w:rPr>
            </w:pPr>
            <w:r w:rsidRPr="00967E40">
              <w:rPr>
                <w:rFonts w:ascii="Calibri" w:hAnsi="Calibri" w:cs="Arial"/>
                <w:sz w:val="24"/>
                <w:szCs w:val="24"/>
              </w:rPr>
              <w:t>Asset types</w:t>
            </w:r>
            <w:r w:rsidR="00292B56">
              <w:rPr>
                <w:rFonts w:ascii="Calibri" w:hAnsi="Calibri" w:cs="Arial"/>
                <w:sz w:val="24"/>
                <w:szCs w:val="24"/>
              </w:rPr>
              <w:t>:</w:t>
            </w:r>
          </w:p>
          <w:p w:rsidR="001A4E2D" w:rsidRPr="00967E40" w:rsidRDefault="001A4E2D" w:rsidP="001A4E2D">
            <w:pPr>
              <w:spacing w:line="360" w:lineRule="auto"/>
              <w:ind w:left="868"/>
              <w:rPr>
                <w:rFonts w:ascii="Calibri" w:hAnsi="Calibri" w:cs="Arial"/>
                <w:sz w:val="24"/>
                <w:szCs w:val="24"/>
              </w:rPr>
            </w:pPr>
            <w:r w:rsidRPr="00967E40">
              <w:rPr>
                <w:rFonts w:ascii="Calibri" w:hAnsi="Calibri" w:cs="Arial"/>
                <w:sz w:val="24"/>
                <w:szCs w:val="24"/>
              </w:rPr>
              <w:t>1.</w:t>
            </w:r>
          </w:p>
          <w:p w:rsidR="001A4E2D" w:rsidRPr="00967E40" w:rsidRDefault="001A4E2D" w:rsidP="001A4E2D">
            <w:pPr>
              <w:spacing w:line="360" w:lineRule="auto"/>
              <w:ind w:left="868"/>
              <w:rPr>
                <w:rFonts w:ascii="Calibri" w:hAnsi="Calibri" w:cs="Arial"/>
                <w:sz w:val="24"/>
                <w:szCs w:val="24"/>
              </w:rPr>
            </w:pPr>
            <w:r w:rsidRPr="00967E40">
              <w:rPr>
                <w:rFonts w:ascii="Calibri" w:hAnsi="Calibri" w:cs="Arial"/>
                <w:sz w:val="24"/>
                <w:szCs w:val="24"/>
              </w:rPr>
              <w:t xml:space="preserve">2. </w:t>
            </w:r>
          </w:p>
          <w:p w:rsidR="001A4E2D" w:rsidRPr="00967E40" w:rsidRDefault="001A4E2D" w:rsidP="001A4E2D">
            <w:pPr>
              <w:spacing w:line="360" w:lineRule="auto"/>
              <w:ind w:left="868"/>
              <w:rPr>
                <w:rFonts w:ascii="Calibri" w:hAnsi="Calibri" w:cs="Arial"/>
                <w:sz w:val="24"/>
                <w:szCs w:val="24"/>
              </w:rPr>
            </w:pPr>
            <w:r w:rsidRPr="00967E40">
              <w:rPr>
                <w:rFonts w:ascii="Calibri" w:hAnsi="Calibri" w:cs="Arial"/>
                <w:sz w:val="24"/>
                <w:szCs w:val="24"/>
              </w:rPr>
              <w:t>3.</w:t>
            </w:r>
          </w:p>
          <w:p w:rsidR="001A4E2D" w:rsidRPr="00967E40" w:rsidRDefault="001A4E2D" w:rsidP="001A4E2D">
            <w:pPr>
              <w:spacing w:line="360" w:lineRule="auto"/>
              <w:ind w:left="868"/>
              <w:rPr>
                <w:rFonts w:ascii="Calibri" w:hAnsi="Calibri" w:cs="Arial"/>
                <w:sz w:val="24"/>
                <w:szCs w:val="24"/>
              </w:rPr>
            </w:pPr>
            <w:r w:rsidRPr="00967E40">
              <w:rPr>
                <w:rFonts w:ascii="Calibri" w:hAnsi="Calibri" w:cs="Arial"/>
                <w:sz w:val="24"/>
                <w:szCs w:val="24"/>
              </w:rPr>
              <w:t>4.</w:t>
            </w:r>
          </w:p>
          <w:p w:rsidR="001A4E2D" w:rsidRPr="00967E40" w:rsidRDefault="001A4E2D" w:rsidP="00F91A61">
            <w:pPr>
              <w:spacing w:line="360" w:lineRule="auto"/>
              <w:ind w:left="868"/>
              <w:rPr>
                <w:rFonts w:ascii="Calibri" w:hAnsi="Calibri" w:cs="Arial"/>
                <w:sz w:val="24"/>
                <w:szCs w:val="24"/>
              </w:rPr>
            </w:pPr>
            <w:r w:rsidRPr="00967E40">
              <w:rPr>
                <w:rFonts w:ascii="Calibri" w:hAnsi="Calibri" w:cs="Arial"/>
                <w:sz w:val="24"/>
                <w:szCs w:val="24"/>
              </w:rPr>
              <w:t>5.</w:t>
            </w:r>
          </w:p>
        </w:tc>
      </w:tr>
      <w:tr w:rsidR="001A4E2D" w:rsidRPr="00432E20" w:rsidTr="00412637">
        <w:tc>
          <w:tcPr>
            <w:tcW w:w="5954" w:type="dxa"/>
          </w:tcPr>
          <w:p w:rsidR="001A4E2D" w:rsidRDefault="001A4E2D" w:rsidP="00092E30">
            <w:pPr>
              <w:pStyle w:val="ListParagraph"/>
              <w:numPr>
                <w:ilvl w:val="0"/>
                <w:numId w:val="3"/>
              </w:numPr>
              <w:spacing w:line="360" w:lineRule="auto"/>
              <w:rPr>
                <w:rFonts w:ascii="Calibri" w:hAnsi="Calibri" w:cs="Arial"/>
                <w:sz w:val="24"/>
                <w:szCs w:val="24"/>
              </w:rPr>
            </w:pPr>
            <w:r w:rsidRPr="00432E20">
              <w:rPr>
                <w:rFonts w:ascii="Calibri" w:hAnsi="Calibri" w:cs="Arial"/>
                <w:sz w:val="24"/>
                <w:szCs w:val="24"/>
              </w:rPr>
              <w:t xml:space="preserve">Please attach an ANNEX for each </w:t>
            </w:r>
            <w:r w:rsidR="00BB0E3C" w:rsidRPr="00432E20">
              <w:rPr>
                <w:rFonts w:ascii="Calibri" w:hAnsi="Calibri" w:cs="Arial"/>
                <w:sz w:val="24"/>
                <w:szCs w:val="24"/>
              </w:rPr>
              <w:t xml:space="preserve">authority </w:t>
            </w:r>
            <w:r w:rsidRPr="00432E20">
              <w:rPr>
                <w:rFonts w:ascii="Calibri" w:hAnsi="Calibri" w:cs="Arial"/>
                <w:sz w:val="24"/>
                <w:szCs w:val="24"/>
              </w:rPr>
              <w:t xml:space="preserve">that proposes to hold assets outside of the pool </w:t>
            </w:r>
            <w:r w:rsidRPr="00432E20">
              <w:rPr>
                <w:rFonts w:ascii="Calibri" w:hAnsi="Calibri" w:cs="Arial"/>
                <w:sz w:val="24"/>
                <w:szCs w:val="24"/>
              </w:rPr>
              <w:lastRenderedPageBreak/>
              <w:t>detailing the amount, type</w:t>
            </w:r>
            <w:r w:rsidR="00A1418A" w:rsidRPr="00432E20">
              <w:rPr>
                <w:rFonts w:ascii="Calibri" w:hAnsi="Calibri" w:cs="Arial"/>
                <w:sz w:val="24"/>
                <w:szCs w:val="24"/>
              </w:rPr>
              <w:t>, how long they will be held outside the pool, reason and how it demonstrates value for money.</w:t>
            </w:r>
          </w:p>
          <w:p w:rsidR="00996B90" w:rsidRPr="00432E20" w:rsidRDefault="00996B90" w:rsidP="008575DF">
            <w:pPr>
              <w:pStyle w:val="ListParagraph"/>
              <w:spacing w:line="360" w:lineRule="auto"/>
              <w:rPr>
                <w:rFonts w:ascii="Calibri" w:hAnsi="Calibri" w:cs="Arial"/>
                <w:sz w:val="24"/>
                <w:szCs w:val="24"/>
              </w:rPr>
            </w:pPr>
            <w:r w:rsidRPr="00141F6B">
              <w:rPr>
                <w:rFonts w:ascii="Calibri" w:hAnsi="Calibri" w:cs="Arial"/>
                <w:color w:val="FF0000"/>
                <w:sz w:val="24"/>
                <w:szCs w:val="24"/>
              </w:rPr>
              <w:t xml:space="preserve">Pending responses from </w:t>
            </w:r>
            <w:r w:rsidR="009F15E9">
              <w:rPr>
                <w:rFonts w:ascii="Calibri" w:hAnsi="Calibri" w:cs="Arial"/>
                <w:color w:val="FF0000"/>
                <w:sz w:val="24"/>
                <w:szCs w:val="24"/>
              </w:rPr>
              <w:t>Funds</w:t>
            </w:r>
          </w:p>
        </w:tc>
        <w:tc>
          <w:tcPr>
            <w:tcW w:w="3827" w:type="dxa"/>
          </w:tcPr>
          <w:p w:rsidR="001A4E2D" w:rsidRDefault="001A4E2D" w:rsidP="00292B56">
            <w:pPr>
              <w:spacing w:line="360" w:lineRule="auto"/>
              <w:rPr>
                <w:rFonts w:ascii="Calibri" w:hAnsi="Calibri" w:cs="Arial"/>
                <w:sz w:val="24"/>
                <w:szCs w:val="24"/>
              </w:rPr>
            </w:pPr>
            <w:r w:rsidRPr="00432E20">
              <w:rPr>
                <w:rFonts w:ascii="Calibri" w:hAnsi="Calibri" w:cs="Arial"/>
                <w:sz w:val="24"/>
                <w:szCs w:val="24"/>
              </w:rPr>
              <w:lastRenderedPageBreak/>
              <w:t>Attached as ANNEX number</w:t>
            </w:r>
          </w:p>
          <w:p w:rsidR="00394270" w:rsidRPr="00432E20" w:rsidRDefault="00394270" w:rsidP="009F15E9">
            <w:pPr>
              <w:spacing w:line="360" w:lineRule="auto"/>
              <w:rPr>
                <w:rFonts w:ascii="Calibri" w:hAnsi="Calibri" w:cs="Arial"/>
                <w:sz w:val="24"/>
                <w:szCs w:val="24"/>
              </w:rPr>
            </w:pPr>
            <w:r w:rsidRPr="00394270">
              <w:rPr>
                <w:rFonts w:ascii="Calibri" w:hAnsi="Calibri" w:cs="Arial"/>
                <w:color w:val="FF0000"/>
                <w:sz w:val="24"/>
                <w:szCs w:val="24"/>
              </w:rPr>
              <w:t xml:space="preserve">Will attach as an annex once </w:t>
            </w:r>
            <w:r w:rsidR="009F15E9">
              <w:rPr>
                <w:rFonts w:ascii="Calibri" w:hAnsi="Calibri" w:cs="Arial"/>
                <w:color w:val="FF0000"/>
                <w:sz w:val="24"/>
                <w:szCs w:val="24"/>
              </w:rPr>
              <w:t xml:space="preserve">fund </w:t>
            </w:r>
            <w:r w:rsidRPr="00394270">
              <w:rPr>
                <w:rFonts w:ascii="Calibri" w:hAnsi="Calibri" w:cs="Arial"/>
                <w:color w:val="FF0000"/>
                <w:sz w:val="24"/>
                <w:szCs w:val="24"/>
              </w:rPr>
              <w:lastRenderedPageBreak/>
              <w:t>template responses are received back</w:t>
            </w:r>
          </w:p>
        </w:tc>
      </w:tr>
    </w:tbl>
    <w:p w:rsidR="00EE21B0" w:rsidRPr="00432E20" w:rsidRDefault="00EE21B0" w:rsidP="00B57CEA">
      <w:pPr>
        <w:spacing w:after="0" w:line="360" w:lineRule="auto"/>
        <w:rPr>
          <w:rFonts w:ascii="Calibri" w:hAnsi="Calibri" w:cs="Arial"/>
          <w:sz w:val="24"/>
          <w:szCs w:val="24"/>
        </w:rPr>
      </w:pPr>
    </w:p>
    <w:tbl>
      <w:tblPr>
        <w:tblStyle w:val="TableGrid"/>
        <w:tblW w:w="9781" w:type="dxa"/>
        <w:tblInd w:w="-5" w:type="dxa"/>
        <w:tblLook w:val="04A0" w:firstRow="1" w:lastRow="0" w:firstColumn="1" w:lastColumn="0" w:noHBand="0" w:noVBand="1"/>
      </w:tblPr>
      <w:tblGrid>
        <w:gridCol w:w="5954"/>
        <w:gridCol w:w="3827"/>
      </w:tblGrid>
      <w:tr w:rsidR="001E2D6F" w:rsidRPr="00432E20" w:rsidTr="00412637">
        <w:tc>
          <w:tcPr>
            <w:tcW w:w="9781" w:type="dxa"/>
            <w:gridSpan w:val="2"/>
            <w:shd w:val="clear" w:color="auto" w:fill="000000" w:themeFill="text1"/>
          </w:tcPr>
          <w:p w:rsidR="001A4E2D" w:rsidRPr="00432E20" w:rsidRDefault="0038370D" w:rsidP="00092E30">
            <w:pPr>
              <w:pStyle w:val="ListParagraph"/>
              <w:numPr>
                <w:ilvl w:val="0"/>
                <w:numId w:val="1"/>
              </w:numPr>
              <w:spacing w:line="360" w:lineRule="auto"/>
              <w:rPr>
                <w:rFonts w:ascii="Calibri" w:hAnsi="Calibri" w:cs="Arial"/>
                <w:b/>
                <w:color w:val="FFFFFF" w:themeColor="background1"/>
                <w:sz w:val="24"/>
                <w:szCs w:val="24"/>
              </w:rPr>
            </w:pPr>
            <w:r w:rsidRPr="00432E20">
              <w:rPr>
                <w:rFonts w:ascii="Calibri" w:hAnsi="Calibri" w:cs="Arial"/>
                <w:sz w:val="24"/>
                <w:szCs w:val="24"/>
              </w:rPr>
              <w:br w:type="page"/>
            </w:r>
            <w:r w:rsidR="001A4E2D" w:rsidRPr="00432E20">
              <w:rPr>
                <w:rFonts w:ascii="Calibri" w:hAnsi="Calibri" w:cs="Arial"/>
                <w:b/>
                <w:color w:val="FFFFFF" w:themeColor="background1"/>
                <w:sz w:val="24"/>
                <w:szCs w:val="24"/>
              </w:rPr>
              <w:t>The type of pool including the legal structure.</w:t>
            </w:r>
          </w:p>
        </w:tc>
      </w:tr>
      <w:tr w:rsidR="001A4E2D" w:rsidRPr="00432E20" w:rsidTr="00412637">
        <w:tc>
          <w:tcPr>
            <w:tcW w:w="9781" w:type="dxa"/>
            <w:gridSpan w:val="2"/>
          </w:tcPr>
          <w:p w:rsidR="001A4E2D" w:rsidRPr="00432E20" w:rsidRDefault="001A4E2D" w:rsidP="00092E30">
            <w:pPr>
              <w:pStyle w:val="ListParagraph"/>
              <w:numPr>
                <w:ilvl w:val="0"/>
                <w:numId w:val="4"/>
              </w:numPr>
              <w:spacing w:line="360" w:lineRule="auto"/>
              <w:rPr>
                <w:rFonts w:ascii="Calibri" w:hAnsi="Calibri" w:cs="Arial"/>
                <w:sz w:val="24"/>
                <w:szCs w:val="24"/>
              </w:rPr>
            </w:pPr>
            <w:r w:rsidRPr="00432E20">
              <w:rPr>
                <w:rFonts w:ascii="Calibri" w:hAnsi="Calibri" w:cs="Arial"/>
                <w:sz w:val="24"/>
                <w:szCs w:val="24"/>
              </w:rPr>
              <w:t xml:space="preserve">Please </w:t>
            </w:r>
            <w:r w:rsidR="00A1418A" w:rsidRPr="00432E20">
              <w:rPr>
                <w:rFonts w:ascii="Calibri" w:hAnsi="Calibri" w:cs="Arial"/>
                <w:sz w:val="24"/>
                <w:szCs w:val="24"/>
              </w:rPr>
              <w:t xml:space="preserve">set out the type of pool, including legal structure, and </w:t>
            </w:r>
            <w:r w:rsidRPr="00432E20">
              <w:rPr>
                <w:rFonts w:ascii="Calibri" w:hAnsi="Calibri" w:cs="Arial"/>
                <w:sz w:val="24"/>
                <w:szCs w:val="24"/>
              </w:rPr>
              <w:t xml:space="preserve">confirm that </w:t>
            </w:r>
            <w:r w:rsidR="00A1418A" w:rsidRPr="00432E20">
              <w:rPr>
                <w:rFonts w:ascii="Calibri" w:hAnsi="Calibri" w:cs="Arial"/>
                <w:sz w:val="24"/>
                <w:szCs w:val="24"/>
              </w:rPr>
              <w:t xml:space="preserve">it </w:t>
            </w:r>
            <w:r w:rsidR="00D83092" w:rsidRPr="00432E20">
              <w:rPr>
                <w:rFonts w:ascii="Calibri" w:hAnsi="Calibri" w:cs="Arial"/>
                <w:sz w:val="24"/>
                <w:szCs w:val="24"/>
              </w:rPr>
              <w:t xml:space="preserve">has been formally signed off by </w:t>
            </w:r>
            <w:r w:rsidR="006808EC" w:rsidRPr="00432E20">
              <w:rPr>
                <w:rFonts w:ascii="Calibri" w:hAnsi="Calibri" w:cs="Arial"/>
                <w:sz w:val="24"/>
                <w:szCs w:val="24"/>
              </w:rPr>
              <w:t xml:space="preserve">all </w:t>
            </w:r>
            <w:r w:rsidR="00D83092" w:rsidRPr="00432E20">
              <w:rPr>
                <w:rFonts w:ascii="Calibri" w:hAnsi="Calibri" w:cs="Arial"/>
                <w:sz w:val="24"/>
                <w:szCs w:val="24"/>
              </w:rPr>
              <w:t xml:space="preserve">participating </w:t>
            </w:r>
            <w:r w:rsidR="00BB0E3C" w:rsidRPr="00432E20">
              <w:rPr>
                <w:rFonts w:ascii="Calibri" w:hAnsi="Calibri" w:cs="Arial"/>
                <w:sz w:val="24"/>
                <w:szCs w:val="24"/>
              </w:rPr>
              <w:t>authorities</w:t>
            </w:r>
            <w:r w:rsidRPr="00432E20">
              <w:rPr>
                <w:rFonts w:ascii="Calibri" w:hAnsi="Calibri" w:cs="Arial"/>
                <w:sz w:val="24"/>
                <w:szCs w:val="24"/>
              </w:rPr>
              <w:t>:</w:t>
            </w:r>
          </w:p>
        </w:tc>
      </w:tr>
      <w:tr w:rsidR="001A4E2D" w:rsidRPr="00432E20" w:rsidTr="008575DF">
        <w:trPr>
          <w:trHeight w:val="1125"/>
        </w:trPr>
        <w:tc>
          <w:tcPr>
            <w:tcW w:w="9781" w:type="dxa"/>
            <w:gridSpan w:val="2"/>
          </w:tcPr>
          <w:p w:rsidR="002B3F07" w:rsidRDefault="00292B56" w:rsidP="00092E30">
            <w:pPr>
              <w:pStyle w:val="ListParagraph"/>
              <w:numPr>
                <w:ilvl w:val="0"/>
                <w:numId w:val="5"/>
              </w:numPr>
              <w:spacing w:line="360" w:lineRule="auto"/>
              <w:rPr>
                <w:rFonts w:ascii="Calibri" w:hAnsi="Calibri" w:cs="Arial"/>
                <w:sz w:val="24"/>
                <w:szCs w:val="24"/>
              </w:rPr>
            </w:pPr>
            <w:r w:rsidRPr="00432E20">
              <w:rPr>
                <w:rFonts w:ascii="Calibri" w:hAnsi="Calibri" w:cs="Arial"/>
                <w:sz w:val="24"/>
                <w:szCs w:val="24"/>
              </w:rPr>
              <w:t>D</w:t>
            </w:r>
            <w:r w:rsidR="007B454A" w:rsidRPr="00432E20">
              <w:rPr>
                <w:rFonts w:ascii="Calibri" w:hAnsi="Calibri" w:cs="Arial"/>
                <w:sz w:val="24"/>
                <w:szCs w:val="24"/>
              </w:rPr>
              <w:t xml:space="preserve">etails of the FCA authorised structure that will </w:t>
            </w:r>
            <w:r w:rsidR="00613E72" w:rsidRPr="00432E20">
              <w:rPr>
                <w:rFonts w:ascii="Calibri" w:hAnsi="Calibri" w:cs="Arial"/>
                <w:sz w:val="24"/>
                <w:szCs w:val="24"/>
              </w:rPr>
              <w:t xml:space="preserve">be </w:t>
            </w:r>
            <w:r w:rsidR="007B454A" w:rsidRPr="00432E20">
              <w:rPr>
                <w:rFonts w:ascii="Calibri" w:hAnsi="Calibri" w:cs="Arial"/>
                <w:sz w:val="24"/>
                <w:szCs w:val="24"/>
              </w:rPr>
              <w:t xml:space="preserve">put in place, and has been signed off by the participating </w:t>
            </w:r>
            <w:r w:rsidR="00BB0E3C" w:rsidRPr="00432E20">
              <w:rPr>
                <w:rFonts w:ascii="Calibri" w:hAnsi="Calibri" w:cs="Arial"/>
                <w:sz w:val="24"/>
                <w:szCs w:val="24"/>
              </w:rPr>
              <w:t>authorities</w:t>
            </w:r>
            <w:r w:rsidRPr="00432E20">
              <w:rPr>
                <w:rFonts w:ascii="Calibri" w:hAnsi="Calibri" w:cs="Arial"/>
                <w:sz w:val="24"/>
                <w:szCs w:val="24"/>
              </w:rPr>
              <w:t>.</w:t>
            </w:r>
          </w:p>
          <w:p w:rsidR="00996B90" w:rsidRPr="00141F6B" w:rsidRDefault="00996B90" w:rsidP="00996B90">
            <w:pPr>
              <w:pStyle w:val="ListParagraph"/>
              <w:spacing w:after="160" w:line="360" w:lineRule="auto"/>
              <w:rPr>
                <w:rFonts w:ascii="Calibri" w:hAnsi="Calibri" w:cs="Arial"/>
                <w:color w:val="0070C0"/>
                <w:sz w:val="24"/>
                <w:szCs w:val="24"/>
              </w:rPr>
            </w:pPr>
            <w:r w:rsidRPr="00141F6B">
              <w:rPr>
                <w:rFonts w:ascii="Calibri" w:hAnsi="Calibri" w:cs="Arial"/>
                <w:color w:val="0070C0"/>
                <w:sz w:val="24"/>
                <w:szCs w:val="24"/>
              </w:rPr>
              <w:t xml:space="preserve">London </w:t>
            </w:r>
            <w:r w:rsidR="008A2BEC">
              <w:rPr>
                <w:rFonts w:ascii="Calibri" w:hAnsi="Calibri" w:cs="Arial"/>
                <w:color w:val="0070C0"/>
                <w:sz w:val="24"/>
                <w:szCs w:val="24"/>
              </w:rPr>
              <w:t xml:space="preserve">LGPS </w:t>
            </w:r>
            <w:r w:rsidRPr="00141F6B">
              <w:rPr>
                <w:rFonts w:ascii="Calibri" w:hAnsi="Calibri" w:cs="Arial"/>
                <w:color w:val="0070C0"/>
                <w:sz w:val="24"/>
                <w:szCs w:val="24"/>
              </w:rPr>
              <w:t xml:space="preserve">CIV </w:t>
            </w:r>
            <w:r w:rsidR="008A2BEC">
              <w:rPr>
                <w:rFonts w:ascii="Calibri" w:hAnsi="Calibri" w:cs="Arial"/>
                <w:color w:val="0070C0"/>
                <w:sz w:val="24"/>
                <w:szCs w:val="24"/>
              </w:rPr>
              <w:t>Limited (“London CIV”)</w:t>
            </w:r>
            <w:r w:rsidR="008575DF">
              <w:rPr>
                <w:rFonts w:ascii="Calibri" w:hAnsi="Calibri" w:cs="Arial"/>
                <w:color w:val="0070C0"/>
                <w:sz w:val="24"/>
                <w:szCs w:val="24"/>
              </w:rPr>
              <w:t xml:space="preserve"> </w:t>
            </w:r>
            <w:r w:rsidRPr="00141F6B">
              <w:rPr>
                <w:rFonts w:ascii="Calibri" w:hAnsi="Calibri" w:cs="Arial"/>
                <w:color w:val="0070C0"/>
                <w:sz w:val="24"/>
                <w:szCs w:val="24"/>
              </w:rPr>
              <w:t xml:space="preserve">is fully authorised by the FCA as an Alternative Investment Fund Manager (AIFM) with permission to operate a UK based Authorised Contractual Scheme fund (ACS Fund). FCA firm registered as London LGPS CIV Ltd, Reference Number 710618. </w:t>
            </w:r>
          </w:p>
          <w:p w:rsidR="00996B90" w:rsidRPr="00141F6B" w:rsidRDefault="00996B90" w:rsidP="00996B90">
            <w:pPr>
              <w:pStyle w:val="ListParagraph"/>
              <w:spacing w:after="160" w:line="360" w:lineRule="auto"/>
              <w:rPr>
                <w:rFonts w:ascii="Calibri" w:hAnsi="Calibri" w:cs="Arial"/>
                <w:color w:val="0070C0"/>
                <w:sz w:val="24"/>
                <w:szCs w:val="24"/>
              </w:rPr>
            </w:pPr>
            <w:r w:rsidRPr="00141F6B">
              <w:rPr>
                <w:rFonts w:ascii="Calibri" w:hAnsi="Calibri" w:cs="Arial"/>
                <w:color w:val="0070C0"/>
                <w:sz w:val="24"/>
                <w:szCs w:val="24"/>
              </w:rPr>
              <w:t>Approval for the structure has been signed off by the 32</w:t>
            </w:r>
            <w:r w:rsidR="009F15E9">
              <w:rPr>
                <w:rFonts w:ascii="Calibri" w:hAnsi="Calibri" w:cs="Arial"/>
                <w:color w:val="0070C0"/>
                <w:sz w:val="24"/>
                <w:szCs w:val="24"/>
              </w:rPr>
              <w:t>/33</w:t>
            </w:r>
            <w:r w:rsidRPr="00141F6B">
              <w:rPr>
                <w:rFonts w:ascii="Calibri" w:hAnsi="Calibri" w:cs="Arial"/>
                <w:color w:val="0070C0"/>
                <w:sz w:val="24"/>
                <w:szCs w:val="24"/>
              </w:rPr>
              <w:t xml:space="preserve"> participating </w:t>
            </w:r>
            <w:r w:rsidR="009F15E9">
              <w:rPr>
                <w:rFonts w:ascii="Calibri" w:hAnsi="Calibri" w:cs="Arial"/>
                <w:color w:val="0070C0"/>
                <w:sz w:val="24"/>
                <w:szCs w:val="24"/>
              </w:rPr>
              <w:t>London Local Authorities</w:t>
            </w:r>
            <w:r w:rsidR="008575DF">
              <w:rPr>
                <w:rFonts w:ascii="Calibri" w:hAnsi="Calibri" w:cs="Arial"/>
                <w:color w:val="0070C0"/>
                <w:sz w:val="24"/>
                <w:szCs w:val="24"/>
              </w:rPr>
              <w:t xml:space="preserve"> </w:t>
            </w:r>
            <w:r w:rsidRPr="00141F6B">
              <w:rPr>
                <w:rFonts w:ascii="Calibri" w:hAnsi="Calibri" w:cs="Arial"/>
                <w:color w:val="0070C0"/>
                <w:sz w:val="24"/>
                <w:szCs w:val="24"/>
              </w:rPr>
              <w:t xml:space="preserve">with each authority formally approving the decision to join the London CIV </w:t>
            </w:r>
          </w:p>
          <w:p w:rsidR="00A1418A" w:rsidRDefault="00A1418A" w:rsidP="00092E30">
            <w:pPr>
              <w:pStyle w:val="ListParagraph"/>
              <w:numPr>
                <w:ilvl w:val="0"/>
                <w:numId w:val="5"/>
              </w:numPr>
              <w:spacing w:line="360" w:lineRule="auto"/>
              <w:rPr>
                <w:rFonts w:ascii="Calibri" w:hAnsi="Calibri" w:cs="Arial"/>
                <w:sz w:val="24"/>
                <w:szCs w:val="24"/>
              </w:rPr>
            </w:pPr>
            <w:r w:rsidRPr="00432E20">
              <w:rPr>
                <w:rFonts w:ascii="Calibri" w:hAnsi="Calibri" w:cs="Arial"/>
                <w:sz w:val="24"/>
                <w:szCs w:val="24"/>
              </w:rPr>
              <w:t>Outline of tax treatment and legal position, including legal and beneficial ownership of assets</w:t>
            </w:r>
            <w:r w:rsidR="00292B56" w:rsidRPr="00432E20">
              <w:rPr>
                <w:rFonts w:ascii="Calibri" w:hAnsi="Calibri" w:cs="Arial"/>
                <w:sz w:val="24"/>
                <w:szCs w:val="24"/>
              </w:rPr>
              <w:t>.</w:t>
            </w:r>
          </w:p>
          <w:p w:rsidR="00996B90" w:rsidRPr="00141F6B" w:rsidRDefault="00996B90" w:rsidP="00996B90">
            <w:pPr>
              <w:pStyle w:val="ListParagraph"/>
              <w:spacing w:line="360" w:lineRule="auto"/>
              <w:rPr>
                <w:rFonts w:ascii="Calibri" w:hAnsi="Calibri" w:cs="Arial"/>
                <w:color w:val="0070C0"/>
                <w:sz w:val="24"/>
                <w:szCs w:val="24"/>
              </w:rPr>
            </w:pPr>
            <w:r w:rsidRPr="00141F6B">
              <w:rPr>
                <w:rFonts w:ascii="Calibri" w:hAnsi="Calibri" w:cs="Arial"/>
                <w:color w:val="0070C0"/>
                <w:sz w:val="24"/>
                <w:szCs w:val="24"/>
              </w:rPr>
              <w:t xml:space="preserve">The London CIV </w:t>
            </w:r>
            <w:r w:rsidR="00141F6B">
              <w:rPr>
                <w:rFonts w:ascii="Calibri" w:hAnsi="Calibri" w:cs="Arial"/>
                <w:color w:val="0070C0"/>
                <w:sz w:val="24"/>
                <w:szCs w:val="24"/>
              </w:rPr>
              <w:t xml:space="preserve">is a UK authorised and regulated tax transparent fund (TTF) structured as </w:t>
            </w:r>
            <w:r w:rsidR="00187545">
              <w:rPr>
                <w:rFonts w:ascii="Calibri" w:hAnsi="Calibri" w:cs="Arial"/>
                <w:color w:val="0070C0"/>
                <w:sz w:val="24"/>
                <w:szCs w:val="24"/>
              </w:rPr>
              <w:t xml:space="preserve">an </w:t>
            </w:r>
            <w:r w:rsidR="00141F6B">
              <w:rPr>
                <w:rFonts w:ascii="Calibri" w:hAnsi="Calibri" w:cs="Arial"/>
                <w:color w:val="0070C0"/>
                <w:sz w:val="24"/>
                <w:szCs w:val="24"/>
              </w:rPr>
              <w:t>ACS open to qualified investors</w:t>
            </w:r>
            <w:r w:rsidR="00A80D21">
              <w:rPr>
                <w:rFonts w:ascii="Calibri" w:hAnsi="Calibri" w:cs="Arial"/>
                <w:color w:val="0070C0"/>
                <w:sz w:val="24"/>
                <w:szCs w:val="24"/>
              </w:rPr>
              <w:t xml:space="preserve">. The legal and beneficial ownership of the assets will remain with each of the investing local </w:t>
            </w:r>
            <w:r w:rsidR="008575DF">
              <w:rPr>
                <w:rFonts w:ascii="Calibri" w:hAnsi="Calibri" w:cs="Arial"/>
                <w:color w:val="0070C0"/>
                <w:sz w:val="24"/>
                <w:szCs w:val="24"/>
              </w:rPr>
              <w:t>authorities;</w:t>
            </w:r>
            <w:r w:rsidR="00A80D21">
              <w:rPr>
                <w:rFonts w:ascii="Calibri" w:hAnsi="Calibri" w:cs="Arial"/>
                <w:color w:val="0070C0"/>
                <w:sz w:val="24"/>
                <w:szCs w:val="24"/>
              </w:rPr>
              <w:t xml:space="preserve"> the CIV will be the fund manager. </w:t>
            </w:r>
          </w:p>
          <w:p w:rsidR="007B454A" w:rsidRDefault="00A1418A" w:rsidP="00092E30">
            <w:pPr>
              <w:pStyle w:val="ListParagraph"/>
              <w:numPr>
                <w:ilvl w:val="0"/>
                <w:numId w:val="5"/>
              </w:numPr>
              <w:spacing w:line="360" w:lineRule="auto"/>
              <w:rPr>
                <w:rFonts w:ascii="Calibri" w:hAnsi="Calibri" w:cs="Arial"/>
                <w:sz w:val="24"/>
                <w:szCs w:val="24"/>
              </w:rPr>
            </w:pPr>
            <w:r w:rsidRPr="00432E20">
              <w:rPr>
                <w:rFonts w:ascii="Calibri" w:hAnsi="Calibri" w:cs="Arial"/>
                <w:sz w:val="24"/>
                <w:szCs w:val="24"/>
              </w:rPr>
              <w:t>The composition of the supervisory body.</w:t>
            </w:r>
          </w:p>
          <w:p w:rsidR="00996B90" w:rsidRPr="00141F6B" w:rsidRDefault="00996B90" w:rsidP="00996B90">
            <w:pPr>
              <w:pStyle w:val="ListParagraph"/>
              <w:spacing w:line="360" w:lineRule="auto"/>
              <w:rPr>
                <w:rFonts w:ascii="Calibri" w:hAnsi="Calibri" w:cs="Arial"/>
                <w:color w:val="0070C0"/>
                <w:sz w:val="24"/>
                <w:szCs w:val="24"/>
              </w:rPr>
            </w:pPr>
            <w:r w:rsidRPr="00141F6B">
              <w:rPr>
                <w:rFonts w:ascii="Calibri" w:hAnsi="Calibri" w:cs="Arial"/>
                <w:color w:val="0070C0"/>
                <w:sz w:val="24"/>
                <w:szCs w:val="24"/>
              </w:rPr>
              <w:t xml:space="preserve">Annex 2 sets out the governance structure for the London CIV </w:t>
            </w:r>
          </w:p>
          <w:p w:rsidR="00996B90" w:rsidRPr="00141F6B" w:rsidRDefault="00996B90" w:rsidP="00996B90">
            <w:pPr>
              <w:pStyle w:val="ListParagraph"/>
              <w:spacing w:line="360" w:lineRule="auto"/>
              <w:rPr>
                <w:rFonts w:ascii="Calibri" w:hAnsi="Calibri" w:cs="Arial"/>
                <w:color w:val="0070C0"/>
              </w:rPr>
            </w:pPr>
            <w:r w:rsidRPr="00141F6B">
              <w:rPr>
                <w:rFonts w:ascii="Calibri" w:hAnsi="Calibri" w:cs="Arial"/>
                <w:color w:val="0070C0"/>
              </w:rPr>
              <w:t xml:space="preserve">The governance structure of the CIV has been designed to ensure that there are both formal and informal routes to engage with all the </w:t>
            </w:r>
            <w:r w:rsidR="009F15E9">
              <w:rPr>
                <w:rFonts w:ascii="Calibri" w:hAnsi="Calibri" w:cs="Arial"/>
                <w:color w:val="0070C0"/>
              </w:rPr>
              <w:t>Authorities</w:t>
            </w:r>
            <w:r w:rsidRPr="00141F6B">
              <w:rPr>
                <w:rFonts w:ascii="Calibri" w:hAnsi="Calibri" w:cs="Arial"/>
                <w:color w:val="0070C0"/>
              </w:rPr>
              <w:t xml:space="preserve"> as both shareholders and investors. This is achieved through a combination of the London Councils’ Sectoral Joint Committee, comprising </w:t>
            </w:r>
            <w:r w:rsidR="008A2BEC">
              <w:rPr>
                <w:rFonts w:ascii="Calibri" w:hAnsi="Calibri" w:cs="Arial"/>
                <w:color w:val="0070C0"/>
              </w:rPr>
              <w:t>nominated</w:t>
            </w:r>
            <w:r w:rsidR="008A2BEC" w:rsidRPr="00141F6B">
              <w:rPr>
                <w:rFonts w:ascii="Calibri" w:hAnsi="Calibri" w:cs="Arial"/>
                <w:color w:val="0070C0"/>
              </w:rPr>
              <w:t xml:space="preserve"> </w:t>
            </w:r>
            <w:r w:rsidRPr="00141F6B">
              <w:rPr>
                <w:rFonts w:ascii="Calibri" w:hAnsi="Calibri" w:cs="Arial"/>
                <w:color w:val="0070C0"/>
              </w:rPr>
              <w:t xml:space="preserve">Member representatives from the </w:t>
            </w:r>
            <w:r w:rsidR="009F15E9">
              <w:rPr>
                <w:rFonts w:ascii="Calibri" w:hAnsi="Calibri" w:cs="Arial"/>
                <w:color w:val="0070C0"/>
              </w:rPr>
              <w:t>London Local Authorities</w:t>
            </w:r>
            <w:r w:rsidRPr="00141F6B">
              <w:rPr>
                <w:rFonts w:ascii="Calibri" w:hAnsi="Calibri" w:cs="Arial"/>
                <w:color w:val="0070C0"/>
              </w:rPr>
              <w:t xml:space="preserve"> (in most cases the Pensions Committee Chair), and the Investment Advisory Committee (“IAC”</w:t>
            </w:r>
            <w:r w:rsidR="008A2BEC">
              <w:rPr>
                <w:rFonts w:ascii="Calibri" w:hAnsi="Calibri" w:cs="Arial"/>
                <w:color w:val="0070C0"/>
              </w:rPr>
              <w:t>)</w:t>
            </w:r>
            <w:r w:rsidRPr="00141F6B">
              <w:rPr>
                <w:rFonts w:ascii="Calibri" w:hAnsi="Calibri" w:cs="Arial"/>
                <w:color w:val="0070C0"/>
              </w:rPr>
              <w:t xml:space="preserve"> formed from nominated borough officers, which includes both </w:t>
            </w:r>
            <w:r w:rsidR="009F15E9">
              <w:rPr>
                <w:rFonts w:ascii="Calibri" w:hAnsi="Calibri" w:cs="Arial"/>
                <w:color w:val="0070C0"/>
              </w:rPr>
              <w:t xml:space="preserve">London Local Authority </w:t>
            </w:r>
            <w:r w:rsidR="008A2BEC">
              <w:rPr>
                <w:rFonts w:ascii="Calibri" w:hAnsi="Calibri" w:cs="Arial"/>
                <w:color w:val="0070C0"/>
              </w:rPr>
              <w:t>Treasurers</w:t>
            </w:r>
            <w:r w:rsidR="008A2BEC" w:rsidRPr="00141F6B">
              <w:rPr>
                <w:rFonts w:ascii="Calibri" w:hAnsi="Calibri" w:cs="Arial"/>
                <w:color w:val="0070C0"/>
              </w:rPr>
              <w:t xml:space="preserve"> </w:t>
            </w:r>
            <w:r w:rsidRPr="00141F6B">
              <w:rPr>
                <w:rFonts w:ascii="Calibri" w:hAnsi="Calibri" w:cs="Arial"/>
                <w:color w:val="0070C0"/>
              </w:rPr>
              <w:t xml:space="preserve">and Pension Officers from a number of </w:t>
            </w:r>
            <w:r w:rsidR="009F15E9">
              <w:rPr>
                <w:rFonts w:ascii="Calibri" w:hAnsi="Calibri" w:cs="Arial"/>
                <w:color w:val="0070C0"/>
              </w:rPr>
              <w:t>Authorities</w:t>
            </w:r>
            <w:r w:rsidRPr="00141F6B">
              <w:rPr>
                <w:rFonts w:ascii="Calibri" w:hAnsi="Calibri" w:cs="Arial"/>
                <w:color w:val="0070C0"/>
              </w:rPr>
              <w:t>.</w:t>
            </w:r>
          </w:p>
          <w:p w:rsidR="00996B90" w:rsidRPr="008575DF" w:rsidRDefault="00996B90" w:rsidP="008575DF">
            <w:pPr>
              <w:pStyle w:val="ListParagraph"/>
              <w:spacing w:line="360" w:lineRule="auto"/>
              <w:rPr>
                <w:rFonts w:ascii="Calibri" w:hAnsi="Calibri" w:cs="Arial"/>
                <w:color w:val="0070C0"/>
              </w:rPr>
            </w:pPr>
            <w:r w:rsidRPr="00141F6B">
              <w:rPr>
                <w:rFonts w:ascii="Calibri" w:hAnsi="Calibri" w:cs="Arial"/>
                <w:color w:val="0070C0"/>
              </w:rPr>
              <w:t xml:space="preserve">At the company level for London CIV, (second chart), it is the Board of Directors that </w:t>
            </w:r>
            <w:r w:rsidR="008A2BEC" w:rsidRPr="00141F6B">
              <w:rPr>
                <w:rFonts w:ascii="Calibri" w:hAnsi="Calibri" w:cs="Arial"/>
                <w:color w:val="0070C0"/>
              </w:rPr>
              <w:t>is</w:t>
            </w:r>
            <w:r w:rsidRPr="00141F6B">
              <w:rPr>
                <w:rFonts w:ascii="Calibri" w:hAnsi="Calibri" w:cs="Arial"/>
                <w:color w:val="0070C0"/>
              </w:rPr>
              <w:t xml:space="preserve"> responsible for decision making within the company, which will include the decisions to appoint and remove </w:t>
            </w:r>
            <w:r w:rsidR="008575DF">
              <w:rPr>
                <w:rFonts w:ascii="Calibri" w:hAnsi="Calibri" w:cs="Arial"/>
                <w:color w:val="0070C0"/>
              </w:rPr>
              <w:lastRenderedPageBreak/>
              <w:t>investment managers.</w:t>
            </w:r>
          </w:p>
        </w:tc>
      </w:tr>
      <w:tr w:rsidR="00967E40" w:rsidRPr="00432E20" w:rsidTr="00412637">
        <w:tc>
          <w:tcPr>
            <w:tcW w:w="5954" w:type="dxa"/>
          </w:tcPr>
          <w:p w:rsidR="00967E40" w:rsidRDefault="002B3F07" w:rsidP="00292B56">
            <w:pPr>
              <w:spacing w:line="360" w:lineRule="auto"/>
              <w:ind w:left="360"/>
              <w:rPr>
                <w:rFonts w:ascii="Calibri" w:hAnsi="Calibri" w:cs="Arial"/>
                <w:sz w:val="24"/>
                <w:szCs w:val="24"/>
              </w:rPr>
            </w:pPr>
            <w:r w:rsidRPr="00432E20">
              <w:rPr>
                <w:rFonts w:ascii="Calibri" w:hAnsi="Calibri" w:cs="Arial"/>
                <w:sz w:val="24"/>
                <w:szCs w:val="24"/>
              </w:rPr>
              <w:lastRenderedPageBreak/>
              <w:t xml:space="preserve">Please </w:t>
            </w:r>
            <w:r w:rsidR="00967E40" w:rsidRPr="00432E20">
              <w:rPr>
                <w:rFonts w:ascii="Calibri" w:hAnsi="Calibri" w:cs="Arial"/>
                <w:sz w:val="24"/>
                <w:szCs w:val="24"/>
              </w:rPr>
              <w:t xml:space="preserve">confirm </w:t>
            </w:r>
            <w:r w:rsidR="00292B56" w:rsidRPr="00432E20">
              <w:rPr>
                <w:rFonts w:ascii="Calibri" w:hAnsi="Calibri" w:cs="Arial"/>
                <w:sz w:val="24"/>
                <w:szCs w:val="24"/>
              </w:rPr>
              <w:t xml:space="preserve">that </w:t>
            </w:r>
            <w:r w:rsidRPr="00432E20">
              <w:rPr>
                <w:rFonts w:ascii="Calibri" w:hAnsi="Calibri" w:cs="Arial"/>
                <w:sz w:val="24"/>
                <w:szCs w:val="24"/>
              </w:rPr>
              <w:t xml:space="preserve">all participating </w:t>
            </w:r>
            <w:r w:rsidR="00BB0E3C" w:rsidRPr="00432E20">
              <w:rPr>
                <w:rFonts w:ascii="Calibri" w:hAnsi="Calibri" w:cs="Arial"/>
                <w:sz w:val="24"/>
                <w:szCs w:val="24"/>
              </w:rPr>
              <w:t xml:space="preserve">authorities </w:t>
            </w:r>
            <w:r w:rsidRPr="00432E20">
              <w:rPr>
                <w:rFonts w:ascii="Calibri" w:hAnsi="Calibri" w:cs="Arial"/>
                <w:sz w:val="24"/>
                <w:szCs w:val="24"/>
              </w:rPr>
              <w:t xml:space="preserve">in </w:t>
            </w:r>
            <w:r w:rsidR="00967E40" w:rsidRPr="00432E20">
              <w:rPr>
                <w:rFonts w:ascii="Calibri" w:hAnsi="Calibri" w:cs="Arial"/>
                <w:sz w:val="24"/>
                <w:szCs w:val="24"/>
              </w:rPr>
              <w:t xml:space="preserve">the pool </w:t>
            </w:r>
            <w:r w:rsidR="00507BBF" w:rsidRPr="00432E20">
              <w:rPr>
                <w:rFonts w:ascii="Calibri" w:hAnsi="Calibri" w:cs="Arial"/>
                <w:sz w:val="24"/>
                <w:szCs w:val="24"/>
              </w:rPr>
              <w:t xml:space="preserve">have signed up to </w:t>
            </w:r>
            <w:r w:rsidR="00967E40" w:rsidRPr="00432E20">
              <w:rPr>
                <w:rFonts w:ascii="Calibri" w:hAnsi="Calibri" w:cs="Arial"/>
                <w:sz w:val="24"/>
                <w:szCs w:val="24"/>
              </w:rPr>
              <w:t>the above</w:t>
            </w:r>
            <w:r w:rsidR="004A5014" w:rsidRPr="00432E20">
              <w:rPr>
                <w:rFonts w:ascii="Calibri" w:hAnsi="Calibri" w:cs="Arial"/>
                <w:sz w:val="24"/>
                <w:szCs w:val="24"/>
              </w:rPr>
              <w:t xml:space="preserve">. </w:t>
            </w:r>
            <w:r w:rsidRPr="00432E20">
              <w:rPr>
                <w:rFonts w:ascii="Calibri" w:hAnsi="Calibri" w:cs="Arial"/>
                <w:sz w:val="24"/>
                <w:szCs w:val="24"/>
              </w:rPr>
              <w:t>If not</w:t>
            </w:r>
            <w:r w:rsidR="00507BBF" w:rsidRPr="00432E20">
              <w:rPr>
                <w:rFonts w:ascii="Calibri" w:hAnsi="Calibri" w:cs="Arial"/>
                <w:sz w:val="24"/>
                <w:szCs w:val="24"/>
              </w:rPr>
              <w:t>,</w:t>
            </w:r>
            <w:r w:rsidRPr="00432E20">
              <w:rPr>
                <w:rFonts w:ascii="Calibri" w:hAnsi="Calibri" w:cs="Arial"/>
                <w:sz w:val="24"/>
                <w:szCs w:val="24"/>
              </w:rPr>
              <w:t xml:space="preserve"> please provide in an Annex the timeline when sign</w:t>
            </w:r>
            <w:r w:rsidR="00292B56" w:rsidRPr="00432E20">
              <w:rPr>
                <w:rFonts w:ascii="Calibri" w:hAnsi="Calibri" w:cs="Arial"/>
                <w:sz w:val="24"/>
                <w:szCs w:val="24"/>
              </w:rPr>
              <w:t>-</w:t>
            </w:r>
            <w:r w:rsidRPr="00432E20">
              <w:rPr>
                <w:rFonts w:ascii="Calibri" w:hAnsi="Calibri" w:cs="Arial"/>
                <w:sz w:val="24"/>
                <w:szCs w:val="24"/>
              </w:rPr>
              <w:t xml:space="preserve">off </w:t>
            </w:r>
            <w:r w:rsidR="00507BBF" w:rsidRPr="00432E20">
              <w:rPr>
                <w:rFonts w:ascii="Calibri" w:hAnsi="Calibri" w:cs="Arial"/>
                <w:sz w:val="24"/>
                <w:szCs w:val="24"/>
              </w:rPr>
              <w:t xml:space="preserve">is </w:t>
            </w:r>
            <w:r w:rsidRPr="00432E20">
              <w:rPr>
                <w:rFonts w:ascii="Calibri" w:hAnsi="Calibri" w:cs="Arial"/>
                <w:sz w:val="24"/>
                <w:szCs w:val="24"/>
              </w:rPr>
              <w:t xml:space="preserve">expected and the reason for this to have </w:t>
            </w:r>
            <w:r w:rsidR="009172C8" w:rsidRPr="00432E20">
              <w:rPr>
                <w:rFonts w:ascii="Calibri" w:hAnsi="Calibri" w:cs="Arial"/>
                <w:sz w:val="24"/>
                <w:szCs w:val="24"/>
              </w:rPr>
              <w:t>occurred</w:t>
            </w:r>
            <w:r w:rsidRPr="00432E20">
              <w:rPr>
                <w:rFonts w:ascii="Calibri" w:hAnsi="Calibri" w:cs="Arial"/>
                <w:sz w:val="24"/>
                <w:szCs w:val="24"/>
              </w:rPr>
              <w:t xml:space="preserve"> post July submission date.</w:t>
            </w:r>
          </w:p>
          <w:p w:rsidR="00996B90" w:rsidRPr="00432E20" w:rsidRDefault="00996B90" w:rsidP="00996B90">
            <w:pPr>
              <w:spacing w:line="360" w:lineRule="auto"/>
              <w:ind w:left="360"/>
              <w:rPr>
                <w:rFonts w:ascii="Calibri" w:hAnsi="Calibri" w:cs="Arial"/>
                <w:sz w:val="24"/>
                <w:szCs w:val="24"/>
              </w:rPr>
            </w:pPr>
            <w:r w:rsidRPr="00141F6B">
              <w:rPr>
                <w:rFonts w:ascii="Calibri" w:hAnsi="Calibri" w:cs="Arial"/>
                <w:color w:val="FF0000"/>
                <w:sz w:val="24"/>
                <w:szCs w:val="24"/>
              </w:rPr>
              <w:t>Bromley</w:t>
            </w:r>
            <w:r w:rsidR="00A91D8D">
              <w:rPr>
                <w:rFonts w:ascii="Calibri" w:hAnsi="Calibri" w:cs="Arial"/>
                <w:color w:val="FF0000"/>
                <w:sz w:val="24"/>
                <w:szCs w:val="24"/>
              </w:rPr>
              <w:t xml:space="preserve"> – decision to be taken</w:t>
            </w:r>
            <w:r w:rsidR="00141F6B" w:rsidRPr="00141F6B">
              <w:rPr>
                <w:rFonts w:ascii="Calibri" w:hAnsi="Calibri" w:cs="Arial"/>
                <w:color w:val="FF0000"/>
                <w:sz w:val="24"/>
                <w:szCs w:val="24"/>
              </w:rPr>
              <w:t xml:space="preserve"> on joining the CIV in June/July</w:t>
            </w:r>
            <w:r w:rsidRPr="00141F6B">
              <w:rPr>
                <w:rFonts w:ascii="Calibri" w:hAnsi="Calibri" w:cs="Arial"/>
                <w:color w:val="FF0000"/>
                <w:sz w:val="24"/>
                <w:szCs w:val="24"/>
              </w:rPr>
              <w:t>?</w:t>
            </w:r>
            <w:r w:rsidR="00A91D8D">
              <w:rPr>
                <w:rFonts w:ascii="Calibri" w:hAnsi="Calibri" w:cs="Arial"/>
                <w:color w:val="FF0000"/>
                <w:sz w:val="24"/>
                <w:szCs w:val="24"/>
              </w:rPr>
              <w:t xml:space="preserve"> Will include in final submission if decision taken by 15</w:t>
            </w:r>
            <w:r w:rsidR="00A91D8D" w:rsidRPr="00A91D8D">
              <w:rPr>
                <w:rFonts w:ascii="Calibri" w:hAnsi="Calibri" w:cs="Arial"/>
                <w:color w:val="FF0000"/>
                <w:sz w:val="24"/>
                <w:szCs w:val="24"/>
                <w:vertAlign w:val="superscript"/>
              </w:rPr>
              <w:t>th</w:t>
            </w:r>
            <w:r w:rsidR="00A91D8D">
              <w:rPr>
                <w:rFonts w:ascii="Calibri" w:hAnsi="Calibri" w:cs="Arial"/>
                <w:color w:val="FF0000"/>
                <w:sz w:val="24"/>
                <w:szCs w:val="24"/>
              </w:rPr>
              <w:t xml:space="preserve"> July. </w:t>
            </w:r>
          </w:p>
        </w:tc>
        <w:tc>
          <w:tcPr>
            <w:tcW w:w="3827" w:type="dxa"/>
          </w:tcPr>
          <w:p w:rsidR="00967E40" w:rsidRDefault="00967E40" w:rsidP="00292B56">
            <w:pPr>
              <w:spacing w:line="360" w:lineRule="auto"/>
              <w:rPr>
                <w:rFonts w:ascii="Calibri" w:hAnsi="Calibri" w:cs="Arial"/>
                <w:sz w:val="24"/>
                <w:szCs w:val="24"/>
              </w:rPr>
            </w:pPr>
            <w:r w:rsidRPr="00432E20">
              <w:rPr>
                <w:rFonts w:ascii="Calibri" w:hAnsi="Calibri" w:cs="Arial"/>
                <w:sz w:val="24"/>
                <w:szCs w:val="24"/>
              </w:rPr>
              <w:t>Attached as ANNEX number</w:t>
            </w:r>
          </w:p>
          <w:p w:rsidR="00996B90" w:rsidRDefault="00996B90" w:rsidP="00996B90">
            <w:pPr>
              <w:spacing w:line="360" w:lineRule="auto"/>
              <w:rPr>
                <w:rFonts w:ascii="Calibri" w:hAnsi="Calibri" w:cs="Arial"/>
                <w:color w:val="4472C4" w:themeColor="accent5"/>
                <w:sz w:val="24"/>
                <w:szCs w:val="24"/>
              </w:rPr>
            </w:pPr>
            <w:r>
              <w:rPr>
                <w:rFonts w:ascii="Calibri" w:hAnsi="Calibri" w:cs="Arial"/>
                <w:sz w:val="24"/>
                <w:szCs w:val="24"/>
              </w:rPr>
              <w:t xml:space="preserve">1 </w:t>
            </w:r>
            <w:r w:rsidRPr="00B94C07">
              <w:rPr>
                <w:rFonts w:ascii="Calibri" w:hAnsi="Calibri" w:cs="Arial"/>
                <w:color w:val="4472C4" w:themeColor="accent5"/>
                <w:sz w:val="24"/>
                <w:szCs w:val="24"/>
              </w:rPr>
              <w:t>Shareholders Agreement</w:t>
            </w:r>
          </w:p>
          <w:p w:rsidR="008A2BEC" w:rsidRPr="00381EC2" w:rsidRDefault="008A2BEC" w:rsidP="00996B90">
            <w:pPr>
              <w:spacing w:line="360" w:lineRule="auto"/>
              <w:rPr>
                <w:rFonts w:ascii="Calibri" w:hAnsi="Calibri" w:cs="Arial"/>
                <w:sz w:val="24"/>
                <w:szCs w:val="24"/>
              </w:rPr>
            </w:pPr>
            <w:r>
              <w:rPr>
                <w:rFonts w:ascii="Calibri" w:hAnsi="Calibri" w:cs="Arial"/>
                <w:color w:val="4472C4" w:themeColor="accent5"/>
                <w:sz w:val="24"/>
                <w:szCs w:val="24"/>
              </w:rPr>
              <w:t>2. London CIV Articles of Association</w:t>
            </w:r>
          </w:p>
          <w:p w:rsidR="00996B90" w:rsidRDefault="008A2BEC" w:rsidP="00996B90">
            <w:pPr>
              <w:spacing w:line="360" w:lineRule="auto"/>
              <w:rPr>
                <w:rFonts w:ascii="Calibri" w:hAnsi="Calibri" w:cs="Arial"/>
                <w:color w:val="4472C4" w:themeColor="accent5"/>
                <w:sz w:val="24"/>
                <w:szCs w:val="24"/>
              </w:rPr>
            </w:pPr>
            <w:r>
              <w:rPr>
                <w:rFonts w:ascii="Calibri" w:hAnsi="Calibri" w:cs="Arial"/>
                <w:color w:val="4472C4" w:themeColor="accent5"/>
                <w:sz w:val="24"/>
                <w:szCs w:val="24"/>
              </w:rPr>
              <w:t>3</w:t>
            </w:r>
            <w:r w:rsidR="00996B90">
              <w:rPr>
                <w:rFonts w:ascii="Calibri" w:hAnsi="Calibri" w:cs="Arial"/>
                <w:color w:val="4472C4" w:themeColor="accent5"/>
                <w:sz w:val="24"/>
                <w:szCs w:val="24"/>
              </w:rPr>
              <w:t>. London CIV Governance Structure</w:t>
            </w:r>
          </w:p>
          <w:p w:rsidR="00996B90" w:rsidRPr="00432E20" w:rsidRDefault="00996B90" w:rsidP="00292B56">
            <w:pPr>
              <w:spacing w:line="360" w:lineRule="auto"/>
              <w:rPr>
                <w:rFonts w:ascii="Calibri" w:hAnsi="Calibri" w:cs="Arial"/>
                <w:sz w:val="24"/>
                <w:szCs w:val="24"/>
              </w:rPr>
            </w:pPr>
          </w:p>
        </w:tc>
      </w:tr>
    </w:tbl>
    <w:p w:rsidR="0038370D" w:rsidRPr="00432E20" w:rsidRDefault="0038370D" w:rsidP="00B57CEA">
      <w:pPr>
        <w:spacing w:after="0" w:line="360" w:lineRule="auto"/>
        <w:rPr>
          <w:rFonts w:ascii="Calibri" w:hAnsi="Calibri" w:cs="Arial"/>
          <w:sz w:val="24"/>
          <w:szCs w:val="24"/>
        </w:rPr>
      </w:pPr>
    </w:p>
    <w:tbl>
      <w:tblPr>
        <w:tblStyle w:val="TableGrid"/>
        <w:tblW w:w="0" w:type="auto"/>
        <w:tblInd w:w="-5" w:type="dxa"/>
        <w:tblLook w:val="04A0" w:firstRow="1" w:lastRow="0" w:firstColumn="1" w:lastColumn="0" w:noHBand="0" w:noVBand="1"/>
      </w:tblPr>
      <w:tblGrid>
        <w:gridCol w:w="9741"/>
      </w:tblGrid>
      <w:tr w:rsidR="00123396" w:rsidRPr="00432E20" w:rsidTr="00412637">
        <w:tc>
          <w:tcPr>
            <w:tcW w:w="9741" w:type="dxa"/>
            <w:shd w:val="clear" w:color="auto" w:fill="000000" w:themeFill="text1"/>
          </w:tcPr>
          <w:p w:rsidR="0038370D" w:rsidRPr="00432E20" w:rsidRDefault="0038370D" w:rsidP="00092E30">
            <w:pPr>
              <w:pStyle w:val="ListParagraph"/>
              <w:numPr>
                <w:ilvl w:val="0"/>
                <w:numId w:val="1"/>
              </w:numPr>
              <w:spacing w:line="360" w:lineRule="auto"/>
              <w:rPr>
                <w:rFonts w:ascii="Calibri" w:hAnsi="Calibri" w:cs="Arial"/>
                <w:b/>
                <w:color w:val="FFFFFF" w:themeColor="background1"/>
                <w:sz w:val="24"/>
                <w:szCs w:val="24"/>
              </w:rPr>
            </w:pPr>
            <w:r w:rsidRPr="00432E20">
              <w:rPr>
                <w:rFonts w:ascii="Calibri" w:hAnsi="Calibri" w:cs="Arial"/>
                <w:b/>
                <w:color w:val="FFFFFF" w:themeColor="background1"/>
                <w:sz w:val="24"/>
                <w:szCs w:val="24"/>
              </w:rPr>
              <w:t>How the pool will operate, the work to be carried out internally and services to be hired from outside.</w:t>
            </w:r>
          </w:p>
        </w:tc>
      </w:tr>
      <w:tr w:rsidR="0038370D" w:rsidRPr="00432E20" w:rsidTr="00412637">
        <w:tc>
          <w:tcPr>
            <w:tcW w:w="9741" w:type="dxa"/>
          </w:tcPr>
          <w:p w:rsidR="0038370D" w:rsidRPr="00432E20" w:rsidRDefault="0038370D" w:rsidP="00507BBF">
            <w:pPr>
              <w:pStyle w:val="ListParagraph"/>
              <w:spacing w:line="360" w:lineRule="auto"/>
              <w:rPr>
                <w:rFonts w:ascii="Calibri" w:hAnsi="Calibri" w:cs="Arial"/>
                <w:sz w:val="24"/>
                <w:szCs w:val="24"/>
              </w:rPr>
            </w:pPr>
            <w:r w:rsidRPr="00432E20">
              <w:rPr>
                <w:rFonts w:ascii="Calibri" w:hAnsi="Calibri" w:cs="Arial"/>
                <w:sz w:val="24"/>
                <w:szCs w:val="24"/>
              </w:rPr>
              <w:t xml:space="preserve">Please provide a brief description of each </w:t>
            </w:r>
            <w:r w:rsidR="00507BBF" w:rsidRPr="00432E20">
              <w:rPr>
                <w:rFonts w:ascii="Calibri" w:hAnsi="Calibri" w:cs="Arial"/>
                <w:sz w:val="24"/>
                <w:szCs w:val="24"/>
              </w:rPr>
              <w:t xml:space="preserve">service </w:t>
            </w:r>
            <w:r w:rsidRPr="00432E20">
              <w:rPr>
                <w:rFonts w:ascii="Calibri" w:hAnsi="Calibri" w:cs="Arial"/>
                <w:sz w:val="24"/>
                <w:szCs w:val="24"/>
              </w:rPr>
              <w:t xml:space="preserve">the pool intends </w:t>
            </w:r>
            <w:r w:rsidR="00507BBF" w:rsidRPr="00432E20">
              <w:rPr>
                <w:rFonts w:ascii="Calibri" w:hAnsi="Calibri" w:cs="Arial"/>
                <w:sz w:val="24"/>
                <w:szCs w:val="24"/>
              </w:rPr>
              <w:t xml:space="preserve">to provide </w:t>
            </w:r>
            <w:r w:rsidR="002B3F07" w:rsidRPr="00432E20">
              <w:rPr>
                <w:rFonts w:ascii="Calibri" w:hAnsi="Calibri" w:cs="Arial"/>
                <w:sz w:val="24"/>
                <w:szCs w:val="24"/>
              </w:rPr>
              <w:t>and the anticipated timing of provision</w:t>
            </w:r>
            <w:r w:rsidR="000273E3" w:rsidRPr="00432E20">
              <w:rPr>
                <w:rFonts w:ascii="Calibri" w:hAnsi="Calibri" w:cs="Arial"/>
                <w:sz w:val="24"/>
                <w:szCs w:val="24"/>
              </w:rPr>
              <w:t>.</w:t>
            </w:r>
          </w:p>
        </w:tc>
      </w:tr>
      <w:tr w:rsidR="0038370D" w:rsidRPr="00432E20" w:rsidTr="00412637">
        <w:tc>
          <w:tcPr>
            <w:tcW w:w="9741" w:type="dxa"/>
          </w:tcPr>
          <w:p w:rsidR="00A91D8D" w:rsidRPr="00A91D8D" w:rsidRDefault="0038370D" w:rsidP="00A91D8D">
            <w:pPr>
              <w:pStyle w:val="ListParagraph"/>
              <w:numPr>
                <w:ilvl w:val="0"/>
                <w:numId w:val="7"/>
              </w:numPr>
              <w:spacing w:line="360" w:lineRule="auto"/>
              <w:rPr>
                <w:rFonts w:ascii="Calibri" w:hAnsi="Calibri" w:cs="Arial"/>
                <w:sz w:val="24"/>
                <w:szCs w:val="24"/>
              </w:rPr>
            </w:pPr>
            <w:r w:rsidRPr="00432E20">
              <w:rPr>
                <w:rFonts w:ascii="Calibri" w:hAnsi="Calibri" w:cs="Arial"/>
                <w:sz w:val="24"/>
                <w:szCs w:val="24"/>
              </w:rPr>
              <w:t>To operate in-house (for example if the pool will have internal investment management from inception)</w:t>
            </w:r>
            <w:r w:rsidR="000273E3" w:rsidRPr="00432E20">
              <w:rPr>
                <w:rFonts w:ascii="Calibri" w:hAnsi="Calibri" w:cs="Arial"/>
                <w:sz w:val="24"/>
                <w:szCs w:val="24"/>
              </w:rPr>
              <w:t>:</w:t>
            </w:r>
          </w:p>
          <w:p w:rsidR="00A91D8D" w:rsidRPr="00A91D8D" w:rsidRDefault="00A91D8D" w:rsidP="00A91D8D">
            <w:pPr>
              <w:pStyle w:val="ListParagraph"/>
              <w:numPr>
                <w:ilvl w:val="0"/>
                <w:numId w:val="38"/>
              </w:numPr>
              <w:spacing w:line="360" w:lineRule="auto"/>
              <w:rPr>
                <w:rFonts w:ascii="Calibri" w:hAnsi="Calibri" w:cs="Arial"/>
                <w:color w:val="4472C4" w:themeColor="accent5"/>
                <w:sz w:val="24"/>
                <w:szCs w:val="24"/>
              </w:rPr>
            </w:pPr>
            <w:r>
              <w:rPr>
                <w:rFonts w:ascii="Calibri" w:hAnsi="Calibri" w:cs="Arial"/>
                <w:color w:val="4472C4" w:themeColor="accent5"/>
                <w:sz w:val="24"/>
                <w:szCs w:val="24"/>
              </w:rPr>
              <w:t>Selection, appointment and termination of 3</w:t>
            </w:r>
            <w:r w:rsidRPr="00A91D8D">
              <w:rPr>
                <w:rFonts w:ascii="Calibri" w:hAnsi="Calibri" w:cs="Arial"/>
                <w:color w:val="4472C4" w:themeColor="accent5"/>
                <w:sz w:val="24"/>
                <w:szCs w:val="24"/>
                <w:vertAlign w:val="superscript"/>
              </w:rPr>
              <w:t>rd</w:t>
            </w:r>
            <w:r>
              <w:rPr>
                <w:rFonts w:ascii="Calibri" w:hAnsi="Calibri" w:cs="Arial"/>
                <w:color w:val="4472C4" w:themeColor="accent5"/>
                <w:sz w:val="24"/>
                <w:szCs w:val="24"/>
              </w:rPr>
              <w:t xml:space="preserve"> party fund managers (in-house fund management is an option that will be considered in future</w:t>
            </w:r>
            <w:r w:rsidR="007375D8">
              <w:rPr>
                <w:rFonts w:ascii="Calibri" w:hAnsi="Calibri" w:cs="Arial"/>
                <w:color w:val="4472C4" w:themeColor="accent5"/>
                <w:sz w:val="24"/>
                <w:szCs w:val="24"/>
              </w:rPr>
              <w:t>)</w:t>
            </w:r>
          </w:p>
          <w:p w:rsidR="00996B90" w:rsidRDefault="00996B90" w:rsidP="00141F6B">
            <w:pPr>
              <w:pStyle w:val="ListParagraph"/>
              <w:numPr>
                <w:ilvl w:val="0"/>
                <w:numId w:val="38"/>
              </w:numPr>
              <w:spacing w:line="360" w:lineRule="auto"/>
              <w:rPr>
                <w:rFonts w:ascii="Calibri" w:hAnsi="Calibri" w:cs="Arial"/>
                <w:color w:val="4472C4" w:themeColor="accent5"/>
                <w:sz w:val="24"/>
                <w:szCs w:val="24"/>
              </w:rPr>
            </w:pPr>
            <w:r w:rsidRPr="008A7928">
              <w:rPr>
                <w:rFonts w:ascii="Calibri" w:hAnsi="Calibri" w:cs="Arial"/>
                <w:color w:val="4472C4" w:themeColor="accent5"/>
                <w:sz w:val="24"/>
                <w:szCs w:val="24"/>
              </w:rPr>
              <w:t>Investment Oversight of external</w:t>
            </w:r>
            <w:r w:rsidR="00A91D8D">
              <w:rPr>
                <w:rFonts w:ascii="Calibri" w:hAnsi="Calibri" w:cs="Arial"/>
                <w:color w:val="4472C4" w:themeColor="accent5"/>
                <w:sz w:val="24"/>
                <w:szCs w:val="24"/>
              </w:rPr>
              <w:t xml:space="preserve"> 3</w:t>
            </w:r>
            <w:r w:rsidR="00A91D8D" w:rsidRPr="00A91D8D">
              <w:rPr>
                <w:rFonts w:ascii="Calibri" w:hAnsi="Calibri" w:cs="Arial"/>
                <w:color w:val="4472C4" w:themeColor="accent5"/>
                <w:sz w:val="24"/>
                <w:szCs w:val="24"/>
                <w:vertAlign w:val="superscript"/>
              </w:rPr>
              <w:t>rd</w:t>
            </w:r>
            <w:r w:rsidR="00A91D8D">
              <w:rPr>
                <w:rFonts w:ascii="Calibri" w:hAnsi="Calibri" w:cs="Arial"/>
                <w:color w:val="4472C4" w:themeColor="accent5"/>
                <w:sz w:val="24"/>
                <w:szCs w:val="24"/>
              </w:rPr>
              <w:t xml:space="preserve"> party fund</w:t>
            </w:r>
            <w:r w:rsidRPr="008A7928">
              <w:rPr>
                <w:rFonts w:ascii="Calibri" w:hAnsi="Calibri" w:cs="Arial"/>
                <w:color w:val="4472C4" w:themeColor="accent5"/>
                <w:sz w:val="24"/>
                <w:szCs w:val="24"/>
              </w:rPr>
              <w:t xml:space="preserve"> managers</w:t>
            </w:r>
          </w:p>
          <w:p w:rsidR="00996B90" w:rsidRPr="00967E40" w:rsidRDefault="00996B90" w:rsidP="00996B90">
            <w:pPr>
              <w:pStyle w:val="ListParagraph"/>
              <w:spacing w:line="360" w:lineRule="auto"/>
              <w:ind w:left="1080"/>
              <w:rPr>
                <w:rFonts w:ascii="Calibri" w:hAnsi="Calibri" w:cs="Arial"/>
                <w:sz w:val="24"/>
                <w:szCs w:val="24"/>
              </w:rPr>
            </w:pPr>
            <w:r w:rsidRPr="00967E40">
              <w:rPr>
                <w:rFonts w:ascii="Calibri" w:hAnsi="Calibri" w:cs="Arial"/>
                <w:sz w:val="24"/>
                <w:szCs w:val="24"/>
              </w:rPr>
              <w:t>2.</w:t>
            </w:r>
            <w:r>
              <w:rPr>
                <w:rFonts w:ascii="Calibri" w:hAnsi="Calibri" w:cs="Arial"/>
                <w:sz w:val="24"/>
                <w:szCs w:val="24"/>
              </w:rPr>
              <w:t xml:space="preserve"> </w:t>
            </w:r>
            <w:r w:rsidRPr="008A7928">
              <w:rPr>
                <w:rFonts w:ascii="Calibri" w:hAnsi="Calibri" w:cs="Arial"/>
                <w:color w:val="4472C4" w:themeColor="accent5"/>
                <w:sz w:val="24"/>
                <w:szCs w:val="24"/>
              </w:rPr>
              <w:t>Operations Management</w:t>
            </w:r>
            <w:r w:rsidR="007375D8">
              <w:rPr>
                <w:rFonts w:ascii="Calibri" w:hAnsi="Calibri" w:cs="Arial"/>
                <w:color w:val="4472C4" w:themeColor="accent5"/>
                <w:sz w:val="24"/>
                <w:szCs w:val="24"/>
              </w:rPr>
              <w:t xml:space="preserve"> and oversight of 3</w:t>
            </w:r>
            <w:r w:rsidR="007375D8" w:rsidRPr="007375D8">
              <w:rPr>
                <w:rFonts w:ascii="Calibri" w:hAnsi="Calibri" w:cs="Arial"/>
                <w:color w:val="4472C4" w:themeColor="accent5"/>
                <w:sz w:val="24"/>
                <w:szCs w:val="24"/>
                <w:vertAlign w:val="superscript"/>
              </w:rPr>
              <w:t>rd</w:t>
            </w:r>
            <w:r w:rsidR="007375D8">
              <w:rPr>
                <w:rFonts w:ascii="Calibri" w:hAnsi="Calibri" w:cs="Arial"/>
                <w:color w:val="4472C4" w:themeColor="accent5"/>
                <w:sz w:val="24"/>
                <w:szCs w:val="24"/>
              </w:rPr>
              <w:t xml:space="preserve"> party service providers</w:t>
            </w:r>
          </w:p>
          <w:p w:rsidR="00996B90" w:rsidRPr="00967E40" w:rsidRDefault="00996B90" w:rsidP="00996B90">
            <w:pPr>
              <w:pStyle w:val="ListParagraph"/>
              <w:spacing w:line="360" w:lineRule="auto"/>
              <w:ind w:left="1080"/>
              <w:rPr>
                <w:rFonts w:ascii="Calibri" w:hAnsi="Calibri" w:cs="Arial"/>
                <w:sz w:val="24"/>
                <w:szCs w:val="24"/>
              </w:rPr>
            </w:pPr>
            <w:r w:rsidRPr="00967E40">
              <w:rPr>
                <w:rFonts w:ascii="Calibri" w:hAnsi="Calibri" w:cs="Arial"/>
                <w:sz w:val="24"/>
                <w:szCs w:val="24"/>
              </w:rPr>
              <w:t>3.</w:t>
            </w:r>
            <w:r>
              <w:rPr>
                <w:rFonts w:ascii="Calibri" w:hAnsi="Calibri" w:cs="Arial"/>
                <w:sz w:val="24"/>
                <w:szCs w:val="24"/>
              </w:rPr>
              <w:t xml:space="preserve"> </w:t>
            </w:r>
            <w:r w:rsidRPr="008A7928">
              <w:rPr>
                <w:rFonts w:ascii="Calibri" w:hAnsi="Calibri" w:cs="Arial"/>
                <w:color w:val="4472C4" w:themeColor="accent5"/>
                <w:sz w:val="24"/>
                <w:szCs w:val="24"/>
              </w:rPr>
              <w:t>Compliance</w:t>
            </w:r>
            <w:r w:rsidR="0097470A">
              <w:rPr>
                <w:rFonts w:ascii="Calibri" w:hAnsi="Calibri" w:cs="Arial"/>
                <w:color w:val="4472C4" w:themeColor="accent5"/>
                <w:sz w:val="24"/>
                <w:szCs w:val="24"/>
              </w:rPr>
              <w:t xml:space="preserve"> and Risk Management</w:t>
            </w:r>
            <w:r w:rsidR="007375D8">
              <w:rPr>
                <w:rFonts w:ascii="Calibri" w:hAnsi="Calibri" w:cs="Arial"/>
                <w:color w:val="4472C4" w:themeColor="accent5"/>
                <w:sz w:val="24"/>
                <w:szCs w:val="24"/>
              </w:rPr>
              <w:t xml:space="preserve"> (fund and company)</w:t>
            </w:r>
          </w:p>
          <w:p w:rsidR="00996B90" w:rsidRPr="00967E40" w:rsidRDefault="00996B90" w:rsidP="00996B90">
            <w:pPr>
              <w:pStyle w:val="ListParagraph"/>
              <w:spacing w:line="360" w:lineRule="auto"/>
              <w:ind w:left="1080"/>
              <w:rPr>
                <w:rFonts w:ascii="Calibri" w:hAnsi="Calibri" w:cs="Arial"/>
                <w:sz w:val="24"/>
                <w:szCs w:val="24"/>
              </w:rPr>
            </w:pPr>
            <w:r w:rsidRPr="00967E40">
              <w:rPr>
                <w:rFonts w:ascii="Calibri" w:hAnsi="Calibri" w:cs="Arial"/>
                <w:sz w:val="24"/>
                <w:szCs w:val="24"/>
              </w:rPr>
              <w:t>4.</w:t>
            </w:r>
            <w:r>
              <w:rPr>
                <w:rFonts w:ascii="Calibri" w:hAnsi="Calibri" w:cs="Arial"/>
                <w:sz w:val="24"/>
                <w:szCs w:val="24"/>
              </w:rPr>
              <w:t xml:space="preserve"> </w:t>
            </w:r>
            <w:r w:rsidRPr="008A7928">
              <w:rPr>
                <w:rFonts w:ascii="Calibri" w:hAnsi="Calibri" w:cs="Arial"/>
                <w:color w:val="4472C4" w:themeColor="accent5"/>
                <w:sz w:val="24"/>
                <w:szCs w:val="24"/>
              </w:rPr>
              <w:t>Client Reporting</w:t>
            </w:r>
          </w:p>
          <w:p w:rsidR="00996B90" w:rsidRPr="00967E40" w:rsidRDefault="00996B90" w:rsidP="00996B90">
            <w:pPr>
              <w:pStyle w:val="ListParagraph"/>
              <w:spacing w:line="360" w:lineRule="auto"/>
              <w:ind w:left="1080"/>
              <w:rPr>
                <w:rFonts w:ascii="Calibri" w:hAnsi="Calibri" w:cs="Arial"/>
                <w:sz w:val="24"/>
                <w:szCs w:val="24"/>
              </w:rPr>
            </w:pPr>
            <w:r w:rsidRPr="00967E40">
              <w:rPr>
                <w:rFonts w:ascii="Calibri" w:hAnsi="Calibri" w:cs="Arial"/>
                <w:sz w:val="24"/>
                <w:szCs w:val="24"/>
              </w:rPr>
              <w:t>5.</w:t>
            </w:r>
            <w:r w:rsidRPr="008A7928">
              <w:rPr>
                <w:rFonts w:ascii="Calibri" w:hAnsi="Calibri" w:cs="Arial"/>
                <w:color w:val="4472C4" w:themeColor="accent5"/>
                <w:sz w:val="24"/>
                <w:szCs w:val="24"/>
              </w:rPr>
              <w:t xml:space="preserve"> Website Management</w:t>
            </w:r>
          </w:p>
          <w:p w:rsidR="00996B90" w:rsidRDefault="00996B90" w:rsidP="00996B90">
            <w:pPr>
              <w:pStyle w:val="ListParagraph"/>
              <w:spacing w:line="360" w:lineRule="auto"/>
              <w:ind w:left="1080"/>
              <w:rPr>
                <w:rFonts w:ascii="Calibri" w:hAnsi="Calibri" w:cs="Arial"/>
                <w:color w:val="4472C4" w:themeColor="accent5"/>
                <w:sz w:val="24"/>
                <w:szCs w:val="24"/>
              </w:rPr>
            </w:pPr>
            <w:r w:rsidRPr="00967E40">
              <w:rPr>
                <w:rFonts w:ascii="Calibri" w:hAnsi="Calibri" w:cs="Arial"/>
                <w:sz w:val="24"/>
                <w:szCs w:val="24"/>
              </w:rPr>
              <w:t>6.</w:t>
            </w:r>
            <w:r>
              <w:rPr>
                <w:rFonts w:ascii="Calibri" w:hAnsi="Calibri" w:cs="Arial"/>
                <w:sz w:val="24"/>
                <w:szCs w:val="24"/>
              </w:rPr>
              <w:t xml:space="preserve"> </w:t>
            </w:r>
            <w:r w:rsidRPr="008A7928">
              <w:rPr>
                <w:rFonts w:ascii="Calibri" w:hAnsi="Calibri" w:cs="Arial"/>
                <w:color w:val="4472C4" w:themeColor="accent5"/>
                <w:sz w:val="24"/>
                <w:szCs w:val="24"/>
              </w:rPr>
              <w:t>Financial Management and Budgeting</w:t>
            </w:r>
          </w:p>
          <w:p w:rsidR="0038370D" w:rsidRPr="00432E20" w:rsidRDefault="00996B90" w:rsidP="00996B90">
            <w:pPr>
              <w:pStyle w:val="ListParagraph"/>
              <w:spacing w:line="360" w:lineRule="auto"/>
              <w:ind w:left="1080"/>
              <w:rPr>
                <w:rFonts w:ascii="Calibri" w:hAnsi="Calibri" w:cs="Arial"/>
                <w:sz w:val="24"/>
                <w:szCs w:val="24"/>
              </w:rPr>
            </w:pPr>
            <w:r>
              <w:rPr>
                <w:rFonts w:ascii="Calibri" w:hAnsi="Calibri" w:cs="Arial"/>
                <w:sz w:val="24"/>
                <w:szCs w:val="24"/>
              </w:rPr>
              <w:t xml:space="preserve">7. </w:t>
            </w:r>
            <w:r w:rsidRPr="0033348B">
              <w:rPr>
                <w:rFonts w:ascii="Calibri" w:hAnsi="Calibri" w:cs="Arial"/>
                <w:color w:val="4472C4" w:themeColor="accent5"/>
                <w:sz w:val="24"/>
                <w:szCs w:val="24"/>
              </w:rPr>
              <w:t>Fund Oversight, controlled functions support</w:t>
            </w:r>
            <w:r>
              <w:rPr>
                <w:rFonts w:ascii="Calibri" w:hAnsi="Calibri" w:cs="Arial"/>
                <w:color w:val="4472C4" w:themeColor="accent5"/>
                <w:sz w:val="24"/>
                <w:szCs w:val="24"/>
              </w:rPr>
              <w:t xml:space="preserve"> (2018?)</w:t>
            </w:r>
          </w:p>
        </w:tc>
      </w:tr>
      <w:tr w:rsidR="0038370D" w:rsidRPr="00432E20" w:rsidTr="00412637">
        <w:tc>
          <w:tcPr>
            <w:tcW w:w="9741" w:type="dxa"/>
          </w:tcPr>
          <w:p w:rsidR="0038370D" w:rsidRPr="00432E20" w:rsidRDefault="0038370D" w:rsidP="00092E30">
            <w:pPr>
              <w:pStyle w:val="ListParagraph"/>
              <w:numPr>
                <w:ilvl w:val="0"/>
                <w:numId w:val="7"/>
              </w:numPr>
              <w:spacing w:line="360" w:lineRule="auto"/>
              <w:rPr>
                <w:rFonts w:ascii="Calibri" w:hAnsi="Calibri" w:cs="Arial"/>
                <w:sz w:val="24"/>
                <w:szCs w:val="24"/>
              </w:rPr>
            </w:pPr>
            <w:r w:rsidRPr="00432E20">
              <w:rPr>
                <w:rFonts w:ascii="Calibri" w:hAnsi="Calibri" w:cs="Arial"/>
                <w:sz w:val="24"/>
                <w:szCs w:val="24"/>
              </w:rPr>
              <w:t>To procure externally (for example audit services)</w:t>
            </w:r>
            <w:r w:rsidR="000273E3" w:rsidRPr="00432E20">
              <w:rPr>
                <w:rFonts w:ascii="Calibri" w:hAnsi="Calibri" w:cs="Arial"/>
                <w:sz w:val="24"/>
                <w:szCs w:val="24"/>
              </w:rPr>
              <w:t>:</w:t>
            </w:r>
          </w:p>
          <w:p w:rsidR="0097470A" w:rsidRPr="008575DF" w:rsidRDefault="0097470A" w:rsidP="0097470A">
            <w:pPr>
              <w:pStyle w:val="ListParagraph"/>
              <w:spacing w:line="360" w:lineRule="auto"/>
              <w:ind w:left="1080"/>
              <w:rPr>
                <w:rFonts w:ascii="Calibri" w:hAnsi="Calibri" w:cs="Arial"/>
                <w:color w:val="2F5496" w:themeColor="accent5" w:themeShade="BF"/>
                <w:sz w:val="24"/>
                <w:szCs w:val="24"/>
              </w:rPr>
            </w:pPr>
            <w:r w:rsidRPr="008575DF">
              <w:rPr>
                <w:rFonts w:ascii="Calibri" w:hAnsi="Calibri" w:cs="Arial"/>
                <w:color w:val="2F5496" w:themeColor="accent5" w:themeShade="BF"/>
                <w:sz w:val="24"/>
                <w:szCs w:val="24"/>
              </w:rPr>
              <w:t>1. External Fund Managers – to be procured as and when required</w:t>
            </w:r>
          </w:p>
          <w:p w:rsidR="0097470A" w:rsidRPr="008575DF" w:rsidRDefault="0097470A" w:rsidP="0097470A">
            <w:pPr>
              <w:pStyle w:val="ListParagraph"/>
              <w:spacing w:line="360" w:lineRule="auto"/>
              <w:ind w:left="1080"/>
              <w:rPr>
                <w:rFonts w:ascii="Calibri" w:hAnsi="Calibri" w:cs="Arial"/>
                <w:color w:val="2F5496" w:themeColor="accent5" w:themeShade="BF"/>
                <w:sz w:val="24"/>
                <w:szCs w:val="24"/>
              </w:rPr>
            </w:pPr>
            <w:r w:rsidRPr="008575DF">
              <w:rPr>
                <w:rFonts w:ascii="Calibri" w:hAnsi="Calibri" w:cs="Arial"/>
                <w:color w:val="2F5496" w:themeColor="accent5" w:themeShade="BF"/>
                <w:sz w:val="24"/>
                <w:szCs w:val="24"/>
              </w:rPr>
              <w:t>2. Audit Services (Deloitte) – Contract in place</w:t>
            </w:r>
          </w:p>
          <w:p w:rsidR="0097470A" w:rsidRPr="008575DF" w:rsidRDefault="0097470A" w:rsidP="0097470A">
            <w:pPr>
              <w:pStyle w:val="ListParagraph"/>
              <w:spacing w:line="360" w:lineRule="auto"/>
              <w:ind w:left="1080"/>
              <w:rPr>
                <w:rFonts w:ascii="Calibri" w:hAnsi="Calibri" w:cs="Arial"/>
                <w:color w:val="2F5496" w:themeColor="accent5" w:themeShade="BF"/>
                <w:sz w:val="24"/>
                <w:szCs w:val="24"/>
              </w:rPr>
            </w:pPr>
            <w:r w:rsidRPr="008575DF">
              <w:rPr>
                <w:rFonts w:ascii="Calibri" w:hAnsi="Calibri" w:cs="Arial"/>
                <w:color w:val="2F5496" w:themeColor="accent5" w:themeShade="BF"/>
                <w:sz w:val="24"/>
                <w:szCs w:val="24"/>
              </w:rPr>
              <w:t>3. Legal Services (Eversheds) – Contract in place</w:t>
            </w:r>
          </w:p>
          <w:p w:rsidR="0097470A" w:rsidRPr="008575DF" w:rsidRDefault="0097470A" w:rsidP="0097470A">
            <w:pPr>
              <w:pStyle w:val="ListParagraph"/>
              <w:spacing w:line="360" w:lineRule="auto"/>
              <w:ind w:left="1080"/>
              <w:rPr>
                <w:rFonts w:ascii="Calibri" w:hAnsi="Calibri" w:cs="Arial"/>
                <w:color w:val="2F5496" w:themeColor="accent5" w:themeShade="BF"/>
                <w:sz w:val="24"/>
                <w:szCs w:val="24"/>
              </w:rPr>
            </w:pPr>
            <w:r w:rsidRPr="008575DF">
              <w:rPr>
                <w:rFonts w:ascii="Calibri" w:hAnsi="Calibri" w:cs="Arial"/>
                <w:color w:val="2F5496" w:themeColor="accent5" w:themeShade="BF"/>
                <w:sz w:val="24"/>
                <w:szCs w:val="24"/>
              </w:rPr>
              <w:t>4. Asset Service Provider (Northern Trust) – Contract in place</w:t>
            </w:r>
          </w:p>
          <w:p w:rsidR="0097470A" w:rsidRPr="008575DF" w:rsidRDefault="0097470A" w:rsidP="0097470A">
            <w:pPr>
              <w:pStyle w:val="ListParagraph"/>
              <w:spacing w:line="360" w:lineRule="auto"/>
              <w:ind w:left="1080"/>
              <w:rPr>
                <w:rFonts w:ascii="Calibri" w:hAnsi="Calibri" w:cs="Arial"/>
                <w:color w:val="2F5496" w:themeColor="accent5" w:themeShade="BF"/>
                <w:sz w:val="24"/>
                <w:szCs w:val="24"/>
              </w:rPr>
            </w:pPr>
            <w:r w:rsidRPr="008575DF">
              <w:rPr>
                <w:rFonts w:ascii="Calibri" w:hAnsi="Calibri" w:cs="Arial"/>
                <w:color w:val="2F5496" w:themeColor="accent5" w:themeShade="BF"/>
                <w:sz w:val="24"/>
                <w:szCs w:val="24"/>
              </w:rPr>
              <w:lastRenderedPageBreak/>
              <w:t>5. Depository (Northern Trust) – Contract in place</w:t>
            </w:r>
          </w:p>
          <w:p w:rsidR="0097470A" w:rsidRPr="008575DF" w:rsidRDefault="0097470A" w:rsidP="0097470A">
            <w:pPr>
              <w:pStyle w:val="ListParagraph"/>
              <w:spacing w:line="360" w:lineRule="auto"/>
              <w:ind w:left="1080"/>
              <w:rPr>
                <w:rFonts w:ascii="Calibri" w:hAnsi="Calibri" w:cs="Arial"/>
                <w:color w:val="2F5496" w:themeColor="accent5" w:themeShade="BF"/>
                <w:sz w:val="24"/>
                <w:szCs w:val="24"/>
              </w:rPr>
            </w:pPr>
            <w:r w:rsidRPr="008575DF">
              <w:rPr>
                <w:rFonts w:ascii="Calibri" w:hAnsi="Calibri" w:cs="Arial"/>
                <w:color w:val="2F5496" w:themeColor="accent5" w:themeShade="BF"/>
                <w:sz w:val="24"/>
                <w:szCs w:val="24"/>
              </w:rPr>
              <w:t>6.Fund Oversight, controlled functions support (Capita) – Contract in place – likely to move internal over a period of time</w:t>
            </w:r>
          </w:p>
          <w:p w:rsidR="0097470A" w:rsidRPr="008575DF" w:rsidRDefault="0097470A" w:rsidP="0097470A">
            <w:pPr>
              <w:pStyle w:val="ListParagraph"/>
              <w:spacing w:line="360" w:lineRule="auto"/>
              <w:ind w:left="1080"/>
              <w:rPr>
                <w:rFonts w:ascii="Calibri" w:hAnsi="Calibri" w:cs="Arial"/>
                <w:color w:val="2F5496" w:themeColor="accent5" w:themeShade="BF"/>
                <w:sz w:val="24"/>
                <w:szCs w:val="24"/>
              </w:rPr>
            </w:pPr>
            <w:r w:rsidRPr="008575DF">
              <w:rPr>
                <w:rFonts w:ascii="Calibri" w:hAnsi="Calibri" w:cs="Arial"/>
                <w:color w:val="2F5496" w:themeColor="accent5" w:themeShade="BF"/>
                <w:sz w:val="24"/>
                <w:szCs w:val="24"/>
              </w:rPr>
              <w:t>7. Communications</w:t>
            </w:r>
            <w:r w:rsidR="00A91D8D" w:rsidRPr="008575DF">
              <w:rPr>
                <w:rFonts w:ascii="Calibri" w:hAnsi="Calibri" w:cs="Arial"/>
                <w:color w:val="2F5496" w:themeColor="accent5" w:themeShade="BF"/>
                <w:sz w:val="24"/>
                <w:szCs w:val="24"/>
              </w:rPr>
              <w:t xml:space="preserve"> support</w:t>
            </w:r>
            <w:r w:rsidRPr="008575DF">
              <w:rPr>
                <w:rFonts w:ascii="Calibri" w:hAnsi="Calibri" w:cs="Arial"/>
                <w:color w:val="2F5496" w:themeColor="accent5" w:themeShade="BF"/>
                <w:sz w:val="24"/>
                <w:szCs w:val="24"/>
              </w:rPr>
              <w:t xml:space="preserve"> (London Councils) – Contract in place</w:t>
            </w:r>
          </w:p>
          <w:p w:rsidR="0097470A" w:rsidRPr="008575DF" w:rsidRDefault="0097470A" w:rsidP="0097470A">
            <w:pPr>
              <w:pStyle w:val="ListParagraph"/>
              <w:spacing w:line="360" w:lineRule="auto"/>
              <w:ind w:left="1080"/>
              <w:rPr>
                <w:rFonts w:ascii="Calibri" w:hAnsi="Calibri" w:cs="Arial"/>
                <w:color w:val="2F5496" w:themeColor="accent5" w:themeShade="BF"/>
                <w:sz w:val="24"/>
                <w:szCs w:val="24"/>
              </w:rPr>
            </w:pPr>
            <w:r w:rsidRPr="008575DF">
              <w:rPr>
                <w:rFonts w:ascii="Calibri" w:hAnsi="Calibri" w:cs="Arial"/>
                <w:color w:val="2F5496" w:themeColor="accent5" w:themeShade="BF"/>
                <w:sz w:val="24"/>
                <w:szCs w:val="24"/>
              </w:rPr>
              <w:t xml:space="preserve">8. ICT Support Services (London Councils) – Contract in place </w:t>
            </w:r>
          </w:p>
          <w:p w:rsidR="0097470A" w:rsidRPr="008575DF" w:rsidRDefault="0097470A" w:rsidP="0097470A">
            <w:pPr>
              <w:pStyle w:val="ListParagraph"/>
              <w:spacing w:line="360" w:lineRule="auto"/>
              <w:ind w:left="1080"/>
              <w:rPr>
                <w:rFonts w:ascii="Calibri" w:hAnsi="Calibri" w:cs="Arial"/>
                <w:color w:val="2F5496" w:themeColor="accent5" w:themeShade="BF"/>
                <w:sz w:val="24"/>
                <w:szCs w:val="24"/>
              </w:rPr>
            </w:pPr>
            <w:r w:rsidRPr="008575DF">
              <w:rPr>
                <w:rFonts w:ascii="Calibri" w:hAnsi="Calibri" w:cs="Arial"/>
                <w:color w:val="2F5496" w:themeColor="accent5" w:themeShade="BF"/>
                <w:sz w:val="24"/>
                <w:szCs w:val="24"/>
              </w:rPr>
              <w:t xml:space="preserve">9. Payroll </w:t>
            </w:r>
            <w:r w:rsidR="007375D8" w:rsidRPr="008575DF">
              <w:rPr>
                <w:rFonts w:ascii="Calibri" w:hAnsi="Calibri" w:cs="Arial"/>
                <w:color w:val="2F5496" w:themeColor="accent5" w:themeShade="BF"/>
                <w:sz w:val="24"/>
                <w:szCs w:val="24"/>
              </w:rPr>
              <w:t xml:space="preserve">and Pension </w:t>
            </w:r>
            <w:r w:rsidRPr="008575DF">
              <w:rPr>
                <w:rFonts w:ascii="Calibri" w:hAnsi="Calibri" w:cs="Arial"/>
                <w:color w:val="2F5496" w:themeColor="accent5" w:themeShade="BF"/>
                <w:sz w:val="24"/>
                <w:szCs w:val="24"/>
              </w:rPr>
              <w:t>Services (City of London) – Contract in place</w:t>
            </w:r>
          </w:p>
          <w:p w:rsidR="0097470A" w:rsidRPr="008575DF" w:rsidRDefault="0097470A" w:rsidP="0097470A">
            <w:pPr>
              <w:pStyle w:val="ListParagraph"/>
              <w:spacing w:line="360" w:lineRule="auto"/>
              <w:ind w:left="1080"/>
              <w:rPr>
                <w:rFonts w:ascii="Calibri" w:hAnsi="Calibri" w:cs="Arial"/>
                <w:color w:val="2F5496" w:themeColor="accent5" w:themeShade="BF"/>
                <w:sz w:val="24"/>
                <w:szCs w:val="24"/>
              </w:rPr>
            </w:pPr>
            <w:r w:rsidRPr="008575DF">
              <w:rPr>
                <w:rFonts w:ascii="Calibri" w:hAnsi="Calibri" w:cs="Arial"/>
                <w:color w:val="2F5496" w:themeColor="accent5" w:themeShade="BF"/>
                <w:sz w:val="24"/>
                <w:szCs w:val="24"/>
              </w:rPr>
              <w:t>10. Bookkeeping Services (PWC) – Contract in place</w:t>
            </w:r>
          </w:p>
          <w:p w:rsidR="0097470A" w:rsidRPr="008575DF" w:rsidRDefault="0097470A" w:rsidP="0097470A">
            <w:pPr>
              <w:pStyle w:val="ListParagraph"/>
              <w:spacing w:line="360" w:lineRule="auto"/>
              <w:ind w:left="1080"/>
              <w:rPr>
                <w:rFonts w:ascii="Calibri" w:hAnsi="Calibri" w:cs="Arial"/>
                <w:color w:val="2F5496" w:themeColor="accent5" w:themeShade="BF"/>
                <w:sz w:val="24"/>
                <w:szCs w:val="24"/>
              </w:rPr>
            </w:pPr>
            <w:r w:rsidRPr="008575DF">
              <w:rPr>
                <w:rFonts w:ascii="Calibri" w:hAnsi="Calibri" w:cs="Arial"/>
                <w:color w:val="2F5496" w:themeColor="accent5" w:themeShade="BF"/>
                <w:sz w:val="24"/>
                <w:szCs w:val="24"/>
              </w:rPr>
              <w:t>1</w:t>
            </w:r>
            <w:r w:rsidR="009F15E9" w:rsidRPr="008575DF">
              <w:rPr>
                <w:rFonts w:ascii="Calibri" w:hAnsi="Calibri" w:cs="Arial"/>
                <w:color w:val="2F5496" w:themeColor="accent5" w:themeShade="BF"/>
                <w:sz w:val="24"/>
                <w:szCs w:val="24"/>
              </w:rPr>
              <w:t>1</w:t>
            </w:r>
            <w:r w:rsidRPr="008575DF">
              <w:rPr>
                <w:rFonts w:ascii="Calibri" w:hAnsi="Calibri" w:cs="Arial"/>
                <w:color w:val="2F5496" w:themeColor="accent5" w:themeShade="BF"/>
                <w:sz w:val="24"/>
                <w:szCs w:val="24"/>
              </w:rPr>
              <w:t>. Investment Consultancy – to be procured as and when required</w:t>
            </w:r>
          </w:p>
          <w:p w:rsidR="0038370D" w:rsidRPr="00432E20" w:rsidRDefault="0097470A" w:rsidP="0097470A">
            <w:pPr>
              <w:pStyle w:val="ListParagraph"/>
              <w:spacing w:line="360" w:lineRule="auto"/>
              <w:ind w:left="1080"/>
              <w:rPr>
                <w:rFonts w:ascii="Calibri" w:hAnsi="Calibri" w:cs="Arial"/>
                <w:sz w:val="24"/>
                <w:szCs w:val="24"/>
              </w:rPr>
            </w:pPr>
            <w:r w:rsidRPr="008575DF">
              <w:rPr>
                <w:rFonts w:ascii="Calibri" w:hAnsi="Calibri" w:cs="Arial"/>
                <w:color w:val="2F5496" w:themeColor="accent5" w:themeShade="BF"/>
                <w:sz w:val="24"/>
                <w:szCs w:val="24"/>
              </w:rPr>
              <w:t>1</w:t>
            </w:r>
            <w:r w:rsidR="009F15E9" w:rsidRPr="008575DF">
              <w:rPr>
                <w:rFonts w:ascii="Calibri" w:hAnsi="Calibri" w:cs="Arial"/>
                <w:color w:val="2F5496" w:themeColor="accent5" w:themeShade="BF"/>
                <w:sz w:val="24"/>
                <w:szCs w:val="24"/>
              </w:rPr>
              <w:t>2</w:t>
            </w:r>
            <w:r w:rsidRPr="008575DF">
              <w:rPr>
                <w:rFonts w:ascii="Calibri" w:hAnsi="Calibri" w:cs="Arial"/>
                <w:color w:val="2F5496" w:themeColor="accent5" w:themeShade="BF"/>
                <w:sz w:val="24"/>
                <w:szCs w:val="24"/>
              </w:rPr>
              <w:t>. Transition Management – to be procured as and when required</w:t>
            </w:r>
          </w:p>
        </w:tc>
      </w:tr>
      <w:tr w:rsidR="00D83092" w:rsidRPr="00432E20" w:rsidTr="00412637">
        <w:tc>
          <w:tcPr>
            <w:tcW w:w="9741" w:type="dxa"/>
          </w:tcPr>
          <w:p w:rsidR="00D83092" w:rsidRPr="00432E20" w:rsidRDefault="00D83092" w:rsidP="0097470A">
            <w:pPr>
              <w:spacing w:line="360" w:lineRule="auto"/>
              <w:rPr>
                <w:rFonts w:ascii="Calibri" w:hAnsi="Calibri" w:cs="Arial"/>
                <w:sz w:val="24"/>
                <w:szCs w:val="24"/>
              </w:rPr>
            </w:pPr>
          </w:p>
        </w:tc>
      </w:tr>
    </w:tbl>
    <w:p w:rsidR="00EE21B0" w:rsidRPr="00432E20" w:rsidRDefault="00EE21B0" w:rsidP="00B57CEA">
      <w:pPr>
        <w:spacing w:after="0" w:line="360" w:lineRule="auto"/>
        <w:rPr>
          <w:rFonts w:ascii="Calibri" w:hAnsi="Calibri" w:cs="Arial"/>
          <w:sz w:val="24"/>
          <w:szCs w:val="24"/>
        </w:rPr>
      </w:pPr>
    </w:p>
    <w:tbl>
      <w:tblPr>
        <w:tblStyle w:val="TableGrid"/>
        <w:tblW w:w="9781" w:type="dxa"/>
        <w:tblInd w:w="-5" w:type="dxa"/>
        <w:tblLook w:val="04A0" w:firstRow="1" w:lastRow="0" w:firstColumn="1" w:lastColumn="0" w:noHBand="0" w:noVBand="1"/>
      </w:tblPr>
      <w:tblGrid>
        <w:gridCol w:w="5954"/>
        <w:gridCol w:w="3827"/>
      </w:tblGrid>
      <w:tr w:rsidR="00123396" w:rsidRPr="00432E20" w:rsidTr="00412637">
        <w:tc>
          <w:tcPr>
            <w:tcW w:w="9781" w:type="dxa"/>
            <w:gridSpan w:val="2"/>
            <w:shd w:val="clear" w:color="auto" w:fill="000000" w:themeFill="text1"/>
          </w:tcPr>
          <w:p w:rsidR="0038370D" w:rsidRPr="00432E20" w:rsidRDefault="0038370D" w:rsidP="00092E30">
            <w:pPr>
              <w:pStyle w:val="ListParagraph"/>
              <w:numPr>
                <w:ilvl w:val="0"/>
                <w:numId w:val="1"/>
              </w:numPr>
              <w:spacing w:line="360" w:lineRule="auto"/>
              <w:rPr>
                <w:rFonts w:ascii="Calibri" w:hAnsi="Calibri" w:cs="Arial"/>
                <w:b/>
                <w:color w:val="FFFFFF" w:themeColor="background1"/>
                <w:sz w:val="24"/>
                <w:szCs w:val="24"/>
              </w:rPr>
            </w:pPr>
            <w:r w:rsidRPr="00432E20">
              <w:rPr>
                <w:rFonts w:ascii="Calibri" w:hAnsi="Calibri" w:cs="Arial"/>
                <w:b/>
                <w:color w:val="FFFFFF" w:themeColor="background1"/>
                <w:sz w:val="24"/>
                <w:szCs w:val="24"/>
              </w:rPr>
              <w:t>The timetable for establishing the pool and moving assets into the pool. Authorities should explain how they will transparently report progress against that timetable</w:t>
            </w:r>
            <w:r w:rsidR="00A1418A" w:rsidRPr="00432E20">
              <w:rPr>
                <w:rFonts w:ascii="Calibri" w:hAnsi="Calibri" w:cs="Arial"/>
                <w:b/>
                <w:color w:val="FFFFFF" w:themeColor="background1"/>
                <w:sz w:val="24"/>
                <w:szCs w:val="24"/>
              </w:rPr>
              <w:t xml:space="preserve"> and demonstrate that this will enable progress to be monitored.</w:t>
            </w:r>
          </w:p>
        </w:tc>
      </w:tr>
      <w:tr w:rsidR="0038370D" w:rsidRPr="00432E20" w:rsidTr="00412637">
        <w:tc>
          <w:tcPr>
            <w:tcW w:w="9781" w:type="dxa"/>
            <w:gridSpan w:val="2"/>
          </w:tcPr>
          <w:p w:rsidR="0038370D" w:rsidRPr="00432E20" w:rsidRDefault="002B3F07" w:rsidP="00092E30">
            <w:pPr>
              <w:pStyle w:val="ListParagraph"/>
              <w:numPr>
                <w:ilvl w:val="0"/>
                <w:numId w:val="6"/>
              </w:numPr>
              <w:spacing w:line="360" w:lineRule="auto"/>
              <w:rPr>
                <w:rFonts w:ascii="Calibri" w:hAnsi="Calibri" w:cs="Arial"/>
                <w:sz w:val="24"/>
                <w:szCs w:val="24"/>
              </w:rPr>
            </w:pPr>
            <w:r w:rsidRPr="00432E20">
              <w:rPr>
                <w:rFonts w:ascii="Calibri" w:hAnsi="Calibri" w:cs="Arial"/>
                <w:sz w:val="24"/>
                <w:szCs w:val="24"/>
                <w:lang w:val="en-US"/>
              </w:rPr>
              <w:t xml:space="preserve">Please provide assurance that the structure summarised in 3 above will be in place by </w:t>
            </w:r>
            <w:r w:rsidR="00F91A61" w:rsidRPr="00432E20">
              <w:rPr>
                <w:rFonts w:ascii="Calibri" w:hAnsi="Calibri" w:cs="Arial"/>
                <w:sz w:val="24"/>
                <w:szCs w:val="24"/>
                <w:lang w:val="en-US"/>
              </w:rPr>
              <w:t>01.04.</w:t>
            </w:r>
            <w:r w:rsidRPr="00432E20">
              <w:rPr>
                <w:rFonts w:ascii="Calibri" w:hAnsi="Calibri" w:cs="Arial"/>
                <w:sz w:val="24"/>
                <w:szCs w:val="24"/>
                <w:lang w:val="en-US"/>
              </w:rPr>
              <w:t>2018 assuming: x, y and z (add caveats).</w:t>
            </w:r>
          </w:p>
        </w:tc>
      </w:tr>
      <w:tr w:rsidR="00967E40" w:rsidRPr="00432E20" w:rsidTr="00412637">
        <w:tc>
          <w:tcPr>
            <w:tcW w:w="5954" w:type="dxa"/>
          </w:tcPr>
          <w:p w:rsidR="00967E40" w:rsidRDefault="00967E40" w:rsidP="00D83092">
            <w:pPr>
              <w:spacing w:line="360" w:lineRule="auto"/>
              <w:ind w:left="360"/>
              <w:rPr>
                <w:rFonts w:ascii="Calibri" w:hAnsi="Calibri" w:cs="Arial"/>
                <w:sz w:val="24"/>
                <w:szCs w:val="24"/>
              </w:rPr>
            </w:pPr>
            <w:r w:rsidRPr="00432E20">
              <w:rPr>
                <w:rFonts w:ascii="Calibri" w:hAnsi="Calibri" w:cs="Arial"/>
                <w:sz w:val="24"/>
                <w:szCs w:val="24"/>
              </w:rPr>
              <w:t>Confirmed YES/NO</w:t>
            </w:r>
          </w:p>
          <w:p w:rsidR="0097470A" w:rsidRPr="00432E20" w:rsidRDefault="0097470A" w:rsidP="00D83092">
            <w:pPr>
              <w:spacing w:line="360" w:lineRule="auto"/>
              <w:ind w:left="360"/>
              <w:rPr>
                <w:rFonts w:ascii="Calibri" w:hAnsi="Calibri" w:cs="Arial"/>
                <w:sz w:val="24"/>
                <w:szCs w:val="24"/>
              </w:rPr>
            </w:pPr>
            <w:r w:rsidRPr="00A06F5A">
              <w:rPr>
                <w:rFonts w:ascii="Calibri" w:hAnsi="Calibri" w:cs="Arial"/>
                <w:color w:val="4472C4" w:themeColor="accent5"/>
                <w:sz w:val="24"/>
                <w:szCs w:val="24"/>
              </w:rPr>
              <w:t>YES – Structure already in place and operational</w:t>
            </w:r>
          </w:p>
          <w:p w:rsidR="00967E40" w:rsidRPr="00432E20" w:rsidRDefault="00967E40" w:rsidP="00F91A61">
            <w:pPr>
              <w:spacing w:line="360" w:lineRule="auto"/>
              <w:ind w:left="601"/>
              <w:rPr>
                <w:rFonts w:ascii="Calibri" w:hAnsi="Calibri" w:cs="Arial"/>
                <w:sz w:val="24"/>
                <w:szCs w:val="24"/>
              </w:rPr>
            </w:pPr>
            <w:r w:rsidRPr="00432E20">
              <w:rPr>
                <w:rFonts w:ascii="Calibri" w:hAnsi="Calibri" w:cs="Arial"/>
                <w:sz w:val="24"/>
                <w:szCs w:val="24"/>
              </w:rPr>
              <w:t xml:space="preserve">If NO please state the expected date the structure will be in place and attach an ANNEX detailing the reasons for not being able to have the structure in place by </w:t>
            </w:r>
            <w:r w:rsidR="00F672EB" w:rsidRPr="00432E20">
              <w:rPr>
                <w:rFonts w:ascii="Calibri" w:hAnsi="Calibri" w:cs="Arial"/>
                <w:sz w:val="24"/>
                <w:szCs w:val="24"/>
              </w:rPr>
              <w:t>01.04.</w:t>
            </w:r>
            <w:r w:rsidRPr="00432E20">
              <w:rPr>
                <w:rFonts w:ascii="Calibri" w:hAnsi="Calibri" w:cs="Arial"/>
                <w:sz w:val="24"/>
                <w:szCs w:val="24"/>
              </w:rPr>
              <w:t>2018</w:t>
            </w:r>
            <w:r w:rsidR="00635C9A" w:rsidRPr="00432E20">
              <w:rPr>
                <w:rFonts w:ascii="Calibri" w:hAnsi="Calibri" w:cs="Arial"/>
                <w:sz w:val="24"/>
                <w:szCs w:val="24"/>
              </w:rPr>
              <w:t>.</w:t>
            </w:r>
          </w:p>
        </w:tc>
        <w:tc>
          <w:tcPr>
            <w:tcW w:w="3827" w:type="dxa"/>
          </w:tcPr>
          <w:p w:rsidR="00967E40" w:rsidRPr="00432E20" w:rsidRDefault="002B3F07" w:rsidP="00967E40">
            <w:pPr>
              <w:spacing w:line="360" w:lineRule="auto"/>
              <w:rPr>
                <w:rFonts w:ascii="Calibri" w:hAnsi="Calibri" w:cs="Arial"/>
                <w:sz w:val="24"/>
                <w:szCs w:val="24"/>
              </w:rPr>
            </w:pPr>
            <w:r w:rsidRPr="00432E20">
              <w:rPr>
                <w:rFonts w:ascii="Calibri" w:hAnsi="Calibri" w:cs="Arial"/>
                <w:sz w:val="24"/>
                <w:szCs w:val="24"/>
              </w:rPr>
              <w:t>Anticipated d</w:t>
            </w:r>
            <w:r w:rsidR="00967E40" w:rsidRPr="00432E20">
              <w:rPr>
                <w:rFonts w:ascii="Calibri" w:hAnsi="Calibri" w:cs="Arial"/>
                <w:sz w:val="24"/>
                <w:szCs w:val="24"/>
              </w:rPr>
              <w:t>ate structure will be in place:</w:t>
            </w:r>
          </w:p>
          <w:p w:rsidR="00967E40" w:rsidRPr="00141F6B" w:rsidRDefault="00141F6B" w:rsidP="00967E40">
            <w:pPr>
              <w:spacing w:line="360" w:lineRule="auto"/>
              <w:rPr>
                <w:rFonts w:ascii="Calibri" w:hAnsi="Calibri" w:cs="Arial"/>
                <w:color w:val="0070C0"/>
                <w:sz w:val="24"/>
                <w:szCs w:val="24"/>
              </w:rPr>
            </w:pPr>
            <w:r w:rsidRPr="00141F6B">
              <w:rPr>
                <w:rFonts w:ascii="Calibri" w:hAnsi="Calibri" w:cs="Arial"/>
                <w:color w:val="0070C0"/>
                <w:sz w:val="24"/>
                <w:szCs w:val="24"/>
              </w:rPr>
              <w:t>Already in place 2015</w:t>
            </w:r>
          </w:p>
          <w:p w:rsidR="00967E40" w:rsidRPr="00432E20" w:rsidRDefault="00967E40" w:rsidP="00967E40">
            <w:pPr>
              <w:spacing w:line="360" w:lineRule="auto"/>
              <w:rPr>
                <w:rFonts w:ascii="Calibri" w:hAnsi="Calibri" w:cs="Arial"/>
                <w:sz w:val="24"/>
                <w:szCs w:val="24"/>
              </w:rPr>
            </w:pPr>
          </w:p>
          <w:p w:rsidR="00967E40" w:rsidRPr="00432E20" w:rsidRDefault="00967E40" w:rsidP="00D83092">
            <w:pPr>
              <w:spacing w:line="360" w:lineRule="auto"/>
              <w:rPr>
                <w:rFonts w:ascii="Calibri" w:hAnsi="Calibri" w:cs="Arial"/>
                <w:sz w:val="24"/>
                <w:szCs w:val="24"/>
              </w:rPr>
            </w:pPr>
            <w:r w:rsidRPr="00432E20">
              <w:rPr>
                <w:rFonts w:ascii="Calibri" w:hAnsi="Calibri" w:cs="Arial"/>
                <w:sz w:val="24"/>
                <w:szCs w:val="24"/>
              </w:rPr>
              <w:t>Reasons attached as ANNEX number</w:t>
            </w:r>
          </w:p>
        </w:tc>
      </w:tr>
      <w:tr w:rsidR="00DE17AA" w:rsidRPr="00432E20" w:rsidTr="00412637">
        <w:tc>
          <w:tcPr>
            <w:tcW w:w="5954" w:type="dxa"/>
          </w:tcPr>
          <w:p w:rsidR="00DE17AA" w:rsidRPr="00432E20" w:rsidRDefault="00DE17AA" w:rsidP="00092E30">
            <w:pPr>
              <w:pStyle w:val="ListParagraph"/>
              <w:numPr>
                <w:ilvl w:val="0"/>
                <w:numId w:val="6"/>
              </w:numPr>
              <w:spacing w:line="360" w:lineRule="auto"/>
              <w:rPr>
                <w:rFonts w:ascii="Calibri" w:hAnsi="Calibri" w:cs="Arial"/>
                <w:sz w:val="24"/>
                <w:szCs w:val="24"/>
              </w:rPr>
            </w:pPr>
            <w:r w:rsidRPr="00432E20">
              <w:rPr>
                <w:rFonts w:ascii="Calibri" w:hAnsi="Calibri" w:cs="Arial"/>
                <w:sz w:val="24"/>
                <w:szCs w:val="24"/>
              </w:rPr>
              <w:t xml:space="preserve">Please provide as an ANNEX a high level timetable for the </w:t>
            </w:r>
            <w:r w:rsidR="00635C9A" w:rsidRPr="00432E20">
              <w:rPr>
                <w:rFonts w:ascii="Calibri" w:hAnsi="Calibri" w:cs="Arial"/>
                <w:sz w:val="24"/>
                <w:szCs w:val="24"/>
              </w:rPr>
              <w:t xml:space="preserve">establishment </w:t>
            </w:r>
            <w:r w:rsidRPr="00432E20">
              <w:rPr>
                <w:rFonts w:ascii="Calibri" w:hAnsi="Calibri" w:cs="Arial"/>
                <w:sz w:val="24"/>
                <w:szCs w:val="24"/>
              </w:rPr>
              <w:t xml:space="preserve">of the structure </w:t>
            </w:r>
            <w:r w:rsidR="003B3D49" w:rsidRPr="00432E20">
              <w:rPr>
                <w:rFonts w:ascii="Calibri" w:hAnsi="Calibri" w:cs="Arial"/>
                <w:sz w:val="24"/>
                <w:szCs w:val="24"/>
              </w:rPr>
              <w:t xml:space="preserve">and </w:t>
            </w:r>
            <w:r w:rsidR="00635C9A" w:rsidRPr="00432E20">
              <w:rPr>
                <w:rFonts w:ascii="Calibri" w:hAnsi="Calibri" w:cs="Arial"/>
                <w:sz w:val="24"/>
                <w:szCs w:val="24"/>
              </w:rPr>
              <w:t xml:space="preserve">transition of assets as well as the proposed </w:t>
            </w:r>
            <w:r w:rsidRPr="00432E20">
              <w:rPr>
                <w:rFonts w:ascii="Calibri" w:hAnsi="Calibri" w:cs="Arial"/>
                <w:sz w:val="24"/>
                <w:szCs w:val="24"/>
              </w:rPr>
              <w:t>methodology for reporting progress</w:t>
            </w:r>
            <w:r w:rsidR="00635C9A" w:rsidRPr="00432E20">
              <w:rPr>
                <w:rFonts w:ascii="Calibri" w:hAnsi="Calibri" w:cs="Arial"/>
                <w:sz w:val="24"/>
                <w:szCs w:val="24"/>
              </w:rPr>
              <w:t xml:space="preserve"> against this timetable.</w:t>
            </w:r>
          </w:p>
        </w:tc>
        <w:tc>
          <w:tcPr>
            <w:tcW w:w="3827" w:type="dxa"/>
          </w:tcPr>
          <w:p w:rsidR="00DE17AA" w:rsidRDefault="00DE17AA" w:rsidP="00DE17AA">
            <w:pPr>
              <w:spacing w:line="360" w:lineRule="auto"/>
              <w:rPr>
                <w:rFonts w:ascii="Calibri" w:hAnsi="Calibri" w:cs="Arial"/>
                <w:sz w:val="24"/>
                <w:szCs w:val="24"/>
              </w:rPr>
            </w:pPr>
            <w:r w:rsidRPr="00432E20">
              <w:rPr>
                <w:rFonts w:ascii="Calibri" w:hAnsi="Calibri" w:cs="Arial"/>
                <w:sz w:val="24"/>
                <w:szCs w:val="24"/>
              </w:rPr>
              <w:t>Attached as ANNEX number</w:t>
            </w:r>
          </w:p>
          <w:p w:rsidR="003D3964" w:rsidRDefault="003D3964" w:rsidP="00DE17AA">
            <w:pPr>
              <w:spacing w:line="360" w:lineRule="auto"/>
              <w:rPr>
                <w:rFonts w:ascii="Calibri" w:hAnsi="Calibri" w:cs="Arial"/>
                <w:color w:val="FF0000"/>
                <w:sz w:val="24"/>
                <w:szCs w:val="24"/>
              </w:rPr>
            </w:pPr>
            <w:r w:rsidRPr="003D3964">
              <w:rPr>
                <w:rFonts w:ascii="Calibri" w:hAnsi="Calibri" w:cs="Arial"/>
                <w:color w:val="FF0000"/>
                <w:sz w:val="24"/>
                <w:szCs w:val="24"/>
              </w:rPr>
              <w:t>Annex to be included</w:t>
            </w:r>
            <w:r w:rsidR="00141F6B">
              <w:rPr>
                <w:rFonts w:ascii="Calibri" w:hAnsi="Calibri" w:cs="Arial"/>
                <w:color w:val="FF0000"/>
                <w:sz w:val="24"/>
                <w:szCs w:val="24"/>
              </w:rPr>
              <w:t xml:space="preserve"> – awaiting borough responses</w:t>
            </w:r>
          </w:p>
          <w:p w:rsidR="00A80D21" w:rsidRPr="00A80D21" w:rsidRDefault="00A80D21" w:rsidP="002052C2">
            <w:pPr>
              <w:spacing w:line="360" w:lineRule="auto"/>
              <w:rPr>
                <w:rFonts w:ascii="Calibri" w:hAnsi="Calibri" w:cs="Arial"/>
                <w:i/>
                <w:sz w:val="24"/>
                <w:szCs w:val="24"/>
              </w:rPr>
            </w:pPr>
          </w:p>
        </w:tc>
      </w:tr>
      <w:tr w:rsidR="00D618F0" w:rsidRPr="00432E20" w:rsidTr="00DC03D4">
        <w:tc>
          <w:tcPr>
            <w:tcW w:w="5954" w:type="dxa"/>
          </w:tcPr>
          <w:p w:rsidR="00D618F0" w:rsidRPr="00432E20" w:rsidRDefault="00D618F0" w:rsidP="00092E30">
            <w:pPr>
              <w:pStyle w:val="ListParagraph"/>
              <w:numPr>
                <w:ilvl w:val="0"/>
                <w:numId w:val="6"/>
              </w:numPr>
              <w:spacing w:line="360" w:lineRule="auto"/>
              <w:rPr>
                <w:rFonts w:ascii="Calibri" w:hAnsi="Calibri" w:cs="Arial"/>
                <w:sz w:val="24"/>
                <w:szCs w:val="24"/>
              </w:rPr>
            </w:pPr>
            <w:r w:rsidRPr="00432E20">
              <w:rPr>
                <w:rFonts w:ascii="Calibri" w:hAnsi="Calibri" w:cs="Arial"/>
                <w:sz w:val="24"/>
                <w:szCs w:val="24"/>
              </w:rPr>
              <w:t>Please provide as an ANNEX an outline of how you will approach transition over the years and where possible by asset class (</w:t>
            </w:r>
            <w:r w:rsidR="00292B56" w:rsidRPr="00432E20">
              <w:rPr>
                <w:rFonts w:ascii="Calibri" w:hAnsi="Calibri" w:cs="Arial"/>
                <w:sz w:val="24"/>
                <w:szCs w:val="24"/>
              </w:rPr>
              <w:t>a</w:t>
            </w:r>
            <w:r w:rsidRPr="00432E20">
              <w:rPr>
                <w:rFonts w:ascii="Calibri" w:hAnsi="Calibri" w:cs="Arial"/>
                <w:sz w:val="24"/>
                <w:szCs w:val="24"/>
              </w:rPr>
              <w:t xml:space="preserve">ny values given should be as at </w:t>
            </w:r>
            <w:r w:rsidR="00D121E9" w:rsidRPr="00432E20">
              <w:rPr>
                <w:rFonts w:ascii="Calibri" w:hAnsi="Calibri" w:cs="Arial"/>
                <w:sz w:val="24"/>
                <w:szCs w:val="24"/>
              </w:rPr>
              <w:t>31.3.</w:t>
            </w:r>
            <w:r w:rsidRPr="00432E20">
              <w:rPr>
                <w:rFonts w:ascii="Calibri" w:hAnsi="Calibri" w:cs="Arial"/>
                <w:sz w:val="24"/>
                <w:szCs w:val="24"/>
              </w:rPr>
              <w:t>2015.)</w:t>
            </w:r>
          </w:p>
        </w:tc>
        <w:tc>
          <w:tcPr>
            <w:tcW w:w="3827" w:type="dxa"/>
          </w:tcPr>
          <w:p w:rsidR="00D618F0" w:rsidRDefault="00D618F0" w:rsidP="00237ACD">
            <w:pPr>
              <w:spacing w:line="360" w:lineRule="auto"/>
              <w:rPr>
                <w:rFonts w:ascii="Calibri" w:hAnsi="Calibri" w:cs="Arial"/>
                <w:sz w:val="24"/>
                <w:szCs w:val="24"/>
              </w:rPr>
            </w:pPr>
            <w:r w:rsidRPr="00432E20">
              <w:rPr>
                <w:rFonts w:ascii="Calibri" w:hAnsi="Calibri" w:cs="Arial"/>
                <w:sz w:val="24"/>
                <w:szCs w:val="24"/>
              </w:rPr>
              <w:t>Attached as ANNEX number</w:t>
            </w:r>
          </w:p>
          <w:p w:rsidR="003D3964" w:rsidRPr="00432E20" w:rsidRDefault="003D3964" w:rsidP="00237ACD">
            <w:pPr>
              <w:spacing w:line="360" w:lineRule="auto"/>
              <w:rPr>
                <w:rFonts w:ascii="Calibri" w:hAnsi="Calibri" w:cs="Arial"/>
                <w:sz w:val="24"/>
                <w:szCs w:val="24"/>
              </w:rPr>
            </w:pPr>
            <w:r w:rsidRPr="003D3964">
              <w:rPr>
                <w:rFonts w:ascii="Calibri" w:hAnsi="Calibri" w:cs="Arial"/>
                <w:color w:val="FF0000"/>
                <w:sz w:val="24"/>
                <w:szCs w:val="24"/>
              </w:rPr>
              <w:t>Annex to be included</w:t>
            </w:r>
            <w:r w:rsidR="00141F6B">
              <w:rPr>
                <w:rFonts w:ascii="Calibri" w:hAnsi="Calibri" w:cs="Arial"/>
                <w:color w:val="FF0000"/>
                <w:sz w:val="24"/>
                <w:szCs w:val="24"/>
              </w:rPr>
              <w:t xml:space="preserve"> – awaiting borough responses</w:t>
            </w:r>
          </w:p>
        </w:tc>
      </w:tr>
      <w:tr w:rsidR="0038370D" w:rsidRPr="00432E20" w:rsidTr="00412637">
        <w:tc>
          <w:tcPr>
            <w:tcW w:w="9781" w:type="dxa"/>
            <w:gridSpan w:val="2"/>
          </w:tcPr>
          <w:p w:rsidR="0038370D" w:rsidRPr="00432E20" w:rsidRDefault="00635C9A" w:rsidP="00092E30">
            <w:pPr>
              <w:pStyle w:val="ListParagraph"/>
              <w:numPr>
                <w:ilvl w:val="0"/>
                <w:numId w:val="6"/>
              </w:numPr>
              <w:spacing w:line="360" w:lineRule="auto"/>
              <w:rPr>
                <w:rFonts w:ascii="Calibri" w:hAnsi="Calibri" w:cs="Arial"/>
                <w:sz w:val="24"/>
                <w:szCs w:val="24"/>
              </w:rPr>
            </w:pPr>
            <w:r w:rsidRPr="00432E20">
              <w:rPr>
                <w:rFonts w:ascii="Calibri" w:hAnsi="Calibri" w:cs="Arial"/>
                <w:sz w:val="24"/>
                <w:szCs w:val="24"/>
              </w:rPr>
              <w:lastRenderedPageBreak/>
              <w:t>Based on the asset transition plan, p</w:t>
            </w:r>
            <w:r w:rsidR="0038370D" w:rsidRPr="00432E20">
              <w:rPr>
                <w:rFonts w:ascii="Calibri" w:hAnsi="Calibri" w:cs="Arial"/>
                <w:sz w:val="24"/>
                <w:szCs w:val="24"/>
              </w:rPr>
              <w:t>lease provide a summary of the estimated value of assets (</w:t>
            </w:r>
            <w:r w:rsidR="001E0C4C" w:rsidRPr="00432E20">
              <w:rPr>
                <w:rFonts w:ascii="Calibri" w:hAnsi="Calibri" w:cs="Arial"/>
                <w:sz w:val="24"/>
                <w:szCs w:val="24"/>
              </w:rPr>
              <w:t xml:space="preserve">in £b and </w:t>
            </w:r>
            <w:r w:rsidR="0038370D" w:rsidRPr="00432E20">
              <w:rPr>
                <w:rFonts w:ascii="Calibri" w:hAnsi="Calibri" w:cs="Arial"/>
                <w:sz w:val="24"/>
                <w:szCs w:val="24"/>
              </w:rPr>
              <w:t xml:space="preserve">based on values as at </w:t>
            </w:r>
            <w:r w:rsidR="00106B56" w:rsidRPr="00432E20">
              <w:rPr>
                <w:rFonts w:ascii="Calibri" w:hAnsi="Calibri" w:cs="Arial"/>
                <w:sz w:val="24"/>
                <w:szCs w:val="24"/>
              </w:rPr>
              <w:t>31.3.</w:t>
            </w:r>
            <w:r w:rsidR="0038370D" w:rsidRPr="00432E20">
              <w:rPr>
                <w:rFonts w:ascii="Calibri" w:hAnsi="Calibri" w:cs="Arial"/>
                <w:sz w:val="24"/>
                <w:szCs w:val="24"/>
              </w:rPr>
              <w:t xml:space="preserve">2015 and assuming no change in asset mix) to be held within the pool at the end of each </w:t>
            </w:r>
            <w:r w:rsidR="00A1418A" w:rsidRPr="00432E20">
              <w:rPr>
                <w:rFonts w:ascii="Calibri" w:hAnsi="Calibri" w:cs="Arial"/>
                <w:sz w:val="24"/>
                <w:szCs w:val="24"/>
              </w:rPr>
              <w:t xml:space="preserve">3 </w:t>
            </w:r>
            <w:r w:rsidR="0038370D" w:rsidRPr="00432E20">
              <w:rPr>
                <w:rFonts w:ascii="Calibri" w:hAnsi="Calibri" w:cs="Arial"/>
                <w:sz w:val="24"/>
                <w:szCs w:val="24"/>
              </w:rPr>
              <w:t xml:space="preserve">year period starting from </w:t>
            </w:r>
            <w:r w:rsidR="00E67F34" w:rsidRPr="00432E20">
              <w:rPr>
                <w:rFonts w:ascii="Calibri" w:hAnsi="Calibri" w:cs="Arial"/>
                <w:sz w:val="24"/>
                <w:szCs w:val="24"/>
              </w:rPr>
              <w:t>01.4.</w:t>
            </w:r>
            <w:r w:rsidR="00680290" w:rsidRPr="00432E20">
              <w:rPr>
                <w:rFonts w:ascii="Calibri" w:hAnsi="Calibri" w:cs="Arial"/>
                <w:sz w:val="24"/>
                <w:szCs w:val="24"/>
              </w:rPr>
              <w:t>20</w:t>
            </w:r>
            <w:r w:rsidR="00E67F34" w:rsidRPr="00432E20">
              <w:rPr>
                <w:rFonts w:ascii="Calibri" w:hAnsi="Calibri" w:cs="Arial"/>
                <w:sz w:val="24"/>
                <w:szCs w:val="24"/>
              </w:rPr>
              <w:t>18</w:t>
            </w:r>
            <w:r w:rsidR="0038370D" w:rsidRPr="00432E20">
              <w:rPr>
                <w:rFonts w:ascii="Calibri" w:hAnsi="Calibri" w:cs="Arial"/>
                <w:sz w:val="24"/>
                <w:szCs w:val="24"/>
              </w:rPr>
              <w:t xml:space="preserve">. </w:t>
            </w:r>
          </w:p>
        </w:tc>
      </w:tr>
      <w:tr w:rsidR="0038370D" w:rsidRPr="00432E20" w:rsidTr="00412637">
        <w:tc>
          <w:tcPr>
            <w:tcW w:w="9781" w:type="dxa"/>
            <w:gridSpan w:val="2"/>
          </w:tcPr>
          <w:p w:rsidR="00A80D21" w:rsidRDefault="0038370D" w:rsidP="00967E40">
            <w:pPr>
              <w:spacing w:line="360" w:lineRule="auto"/>
              <w:ind w:left="317"/>
              <w:rPr>
                <w:rFonts w:ascii="Calibri" w:hAnsi="Calibri" w:cs="Arial"/>
                <w:color w:val="FF0000"/>
                <w:sz w:val="24"/>
                <w:szCs w:val="24"/>
              </w:rPr>
            </w:pPr>
            <w:r w:rsidRPr="00432E20">
              <w:rPr>
                <w:rFonts w:ascii="Calibri" w:hAnsi="Calibri" w:cs="Arial"/>
                <w:sz w:val="24"/>
                <w:szCs w:val="24"/>
              </w:rPr>
              <w:t>Total value of assets estimated to be held in pool as at</w:t>
            </w:r>
            <w:r w:rsidR="00D6399D">
              <w:rPr>
                <w:rFonts w:ascii="Calibri" w:hAnsi="Calibri" w:cs="Arial"/>
                <w:sz w:val="24"/>
                <w:szCs w:val="24"/>
              </w:rPr>
              <w:t xml:space="preserve">:  - </w:t>
            </w:r>
            <w:r w:rsidR="00D6399D" w:rsidRPr="00141F6B">
              <w:rPr>
                <w:rFonts w:ascii="Calibri" w:hAnsi="Calibri" w:cs="Arial"/>
                <w:color w:val="FF0000"/>
                <w:sz w:val="24"/>
                <w:szCs w:val="24"/>
              </w:rPr>
              <w:t xml:space="preserve"> Pending responses from </w:t>
            </w:r>
            <w:r w:rsidR="009F15E9">
              <w:rPr>
                <w:rFonts w:ascii="Calibri" w:hAnsi="Calibri" w:cs="Arial"/>
                <w:color w:val="FF0000"/>
                <w:sz w:val="24"/>
                <w:szCs w:val="24"/>
              </w:rPr>
              <w:t>Authorities</w:t>
            </w:r>
          </w:p>
          <w:p w:rsidR="00100036" w:rsidRPr="00202A2A" w:rsidRDefault="00100036" w:rsidP="00100036">
            <w:pPr>
              <w:spacing w:line="360" w:lineRule="auto"/>
              <w:ind w:left="727"/>
              <w:rPr>
                <w:rFonts w:ascii="Calibri" w:hAnsi="Calibri" w:cs="Arial"/>
                <w:b/>
                <w:color w:val="FF0000"/>
                <w:sz w:val="24"/>
                <w:szCs w:val="24"/>
              </w:rPr>
            </w:pPr>
            <w:r>
              <w:rPr>
                <w:rFonts w:ascii="Calibri" w:hAnsi="Calibri" w:cs="Arial"/>
                <w:b/>
                <w:color w:val="FF0000"/>
                <w:sz w:val="24"/>
                <w:szCs w:val="24"/>
              </w:rPr>
              <w:t>Please note that of necessity any forecasts have to be heavily caveated due to the fact that it will depend on the timing of assets being transferred, the ability to source and implement sub-funds, the complexity of the requirements for different assets classes including that of infrastructure. It also assumes that AUM will continue to grow steadily but this will be heavily dependent on market movements and also the structures for local government going forwards, how quickly individual funds become cashflow negative and also any future changes to the benefit and cost structure of the LGPS.</w:t>
            </w:r>
          </w:p>
          <w:p w:rsidR="00100036" w:rsidRPr="00100036" w:rsidRDefault="00100036" w:rsidP="00967E40">
            <w:pPr>
              <w:spacing w:line="360" w:lineRule="auto"/>
              <w:ind w:left="317"/>
              <w:rPr>
                <w:rFonts w:ascii="Calibri" w:hAnsi="Calibri" w:cs="Arial"/>
                <w:sz w:val="24"/>
                <w:szCs w:val="24"/>
              </w:rPr>
            </w:pPr>
          </w:p>
          <w:p w:rsidR="0038370D" w:rsidRPr="00A80D21" w:rsidRDefault="0038370D" w:rsidP="00967E40">
            <w:pPr>
              <w:spacing w:line="360" w:lineRule="auto"/>
              <w:ind w:left="317"/>
              <w:rPr>
                <w:rFonts w:ascii="Calibri" w:hAnsi="Calibri" w:cs="Arial"/>
                <w:color w:val="4472C4" w:themeColor="accent5"/>
                <w:sz w:val="24"/>
                <w:szCs w:val="24"/>
              </w:rPr>
            </w:pPr>
            <w:r w:rsidRPr="00432E20">
              <w:rPr>
                <w:rFonts w:ascii="Calibri" w:hAnsi="Calibri" w:cs="Arial"/>
                <w:sz w:val="24"/>
                <w:szCs w:val="24"/>
              </w:rPr>
              <w:t>31.3.20</w:t>
            </w:r>
            <w:r w:rsidR="00A1418A" w:rsidRPr="00432E20">
              <w:rPr>
                <w:rFonts w:ascii="Calibri" w:hAnsi="Calibri" w:cs="Arial"/>
                <w:sz w:val="24"/>
                <w:szCs w:val="24"/>
              </w:rPr>
              <w:t>21</w:t>
            </w:r>
            <w:r w:rsidR="001E0C4C" w:rsidRPr="00432E20">
              <w:rPr>
                <w:rFonts w:ascii="Calibri" w:hAnsi="Calibri" w:cs="Arial"/>
                <w:sz w:val="24"/>
                <w:szCs w:val="24"/>
              </w:rPr>
              <w:t xml:space="preserve">: </w:t>
            </w:r>
            <w:r w:rsidR="008F2EA2" w:rsidRPr="002052C2">
              <w:rPr>
                <w:rFonts w:ascii="Calibri" w:hAnsi="Calibri" w:cs="Arial"/>
                <w:color w:val="FF0000"/>
                <w:sz w:val="24"/>
                <w:szCs w:val="24"/>
              </w:rPr>
              <w:t>£</w:t>
            </w:r>
            <w:r w:rsidR="00EA64C7">
              <w:rPr>
                <w:rFonts w:ascii="Calibri" w:hAnsi="Calibri" w:cs="Arial"/>
                <w:color w:val="FF0000"/>
                <w:sz w:val="24"/>
                <w:szCs w:val="24"/>
              </w:rPr>
              <w:t>23.02bn</w:t>
            </w:r>
            <w:r w:rsidR="008575DF">
              <w:rPr>
                <w:rFonts w:ascii="Calibri" w:hAnsi="Calibri" w:cs="Arial"/>
                <w:color w:val="FF0000"/>
                <w:sz w:val="24"/>
                <w:szCs w:val="24"/>
              </w:rPr>
              <w:t xml:space="preserve"> Est</w:t>
            </w:r>
          </w:p>
          <w:p w:rsidR="0038370D" w:rsidRPr="00EA64C7" w:rsidRDefault="0038370D" w:rsidP="00967E40">
            <w:pPr>
              <w:spacing w:line="360" w:lineRule="auto"/>
              <w:ind w:left="317"/>
              <w:rPr>
                <w:rFonts w:ascii="Calibri" w:hAnsi="Calibri" w:cs="Arial"/>
                <w:color w:val="FF0000"/>
                <w:sz w:val="24"/>
                <w:szCs w:val="24"/>
              </w:rPr>
            </w:pPr>
            <w:r w:rsidRPr="00432E20">
              <w:rPr>
                <w:rFonts w:ascii="Calibri" w:hAnsi="Calibri" w:cs="Arial"/>
                <w:sz w:val="24"/>
                <w:szCs w:val="24"/>
              </w:rPr>
              <w:t>31</w:t>
            </w:r>
            <w:r w:rsidR="001E0C4C" w:rsidRPr="00432E20">
              <w:rPr>
                <w:rFonts w:ascii="Calibri" w:hAnsi="Calibri" w:cs="Arial"/>
                <w:sz w:val="24"/>
                <w:szCs w:val="24"/>
              </w:rPr>
              <w:t>.3.20</w:t>
            </w:r>
            <w:r w:rsidR="00A1418A" w:rsidRPr="00432E20">
              <w:rPr>
                <w:rFonts w:ascii="Calibri" w:hAnsi="Calibri" w:cs="Arial"/>
                <w:sz w:val="24"/>
                <w:szCs w:val="24"/>
              </w:rPr>
              <w:t>24</w:t>
            </w:r>
            <w:r w:rsidR="001E0C4C" w:rsidRPr="00432E20">
              <w:rPr>
                <w:rFonts w:ascii="Calibri" w:hAnsi="Calibri" w:cs="Arial"/>
                <w:sz w:val="24"/>
                <w:szCs w:val="24"/>
              </w:rPr>
              <w:t xml:space="preserve">: </w:t>
            </w:r>
            <w:r w:rsidR="00EA64C7">
              <w:rPr>
                <w:rFonts w:ascii="Calibri" w:hAnsi="Calibri" w:cs="Arial"/>
                <w:color w:val="FF0000"/>
                <w:sz w:val="24"/>
                <w:szCs w:val="24"/>
              </w:rPr>
              <w:t>£23.71bn</w:t>
            </w:r>
            <w:r w:rsidR="008575DF">
              <w:rPr>
                <w:rFonts w:ascii="Calibri" w:hAnsi="Calibri" w:cs="Arial"/>
                <w:color w:val="FF0000"/>
                <w:sz w:val="24"/>
                <w:szCs w:val="24"/>
              </w:rPr>
              <w:t xml:space="preserve"> Est</w:t>
            </w:r>
          </w:p>
          <w:p w:rsidR="001E0C4C" w:rsidRPr="00EA64C7" w:rsidRDefault="001E0C4C" w:rsidP="00967E40">
            <w:pPr>
              <w:spacing w:line="360" w:lineRule="auto"/>
              <w:ind w:left="317"/>
              <w:rPr>
                <w:rFonts w:ascii="Calibri" w:hAnsi="Calibri" w:cs="Arial"/>
                <w:color w:val="FF0000"/>
                <w:sz w:val="24"/>
                <w:szCs w:val="24"/>
              </w:rPr>
            </w:pPr>
            <w:r w:rsidRPr="00432E20">
              <w:rPr>
                <w:rFonts w:ascii="Calibri" w:hAnsi="Calibri" w:cs="Arial"/>
                <w:sz w:val="24"/>
                <w:szCs w:val="24"/>
              </w:rPr>
              <w:t>31.3.20</w:t>
            </w:r>
            <w:r w:rsidR="00A1418A" w:rsidRPr="00432E20">
              <w:rPr>
                <w:rFonts w:ascii="Calibri" w:hAnsi="Calibri" w:cs="Arial"/>
                <w:sz w:val="24"/>
                <w:szCs w:val="24"/>
              </w:rPr>
              <w:t>27</w:t>
            </w:r>
            <w:r w:rsidRPr="00432E20">
              <w:rPr>
                <w:rFonts w:ascii="Calibri" w:hAnsi="Calibri" w:cs="Arial"/>
                <w:sz w:val="24"/>
                <w:szCs w:val="24"/>
              </w:rPr>
              <w:t xml:space="preserve">: </w:t>
            </w:r>
            <w:r w:rsidR="008F2EA2" w:rsidRPr="00EA64C7">
              <w:rPr>
                <w:rFonts w:ascii="Calibri" w:hAnsi="Calibri" w:cs="Arial"/>
                <w:color w:val="FF0000"/>
                <w:sz w:val="24"/>
                <w:szCs w:val="24"/>
              </w:rPr>
              <w:t>£</w:t>
            </w:r>
            <w:r w:rsidR="00EA64C7">
              <w:rPr>
                <w:rFonts w:ascii="Calibri" w:hAnsi="Calibri" w:cs="Arial"/>
                <w:color w:val="FF0000"/>
                <w:sz w:val="24"/>
                <w:szCs w:val="24"/>
              </w:rPr>
              <w:t>24.43bn</w:t>
            </w:r>
            <w:r w:rsidR="008575DF">
              <w:rPr>
                <w:rFonts w:ascii="Calibri" w:hAnsi="Calibri" w:cs="Arial"/>
                <w:color w:val="FF0000"/>
                <w:sz w:val="24"/>
                <w:szCs w:val="24"/>
              </w:rPr>
              <w:t xml:space="preserve"> Est</w:t>
            </w:r>
          </w:p>
          <w:p w:rsidR="001E0C4C" w:rsidRPr="00EA64C7" w:rsidRDefault="001E0C4C" w:rsidP="00967E40">
            <w:pPr>
              <w:spacing w:line="360" w:lineRule="auto"/>
              <w:ind w:left="317"/>
              <w:rPr>
                <w:rFonts w:ascii="Calibri" w:hAnsi="Calibri" w:cs="Arial"/>
                <w:color w:val="FF0000"/>
                <w:sz w:val="24"/>
                <w:szCs w:val="24"/>
              </w:rPr>
            </w:pPr>
            <w:r w:rsidRPr="00432E20">
              <w:rPr>
                <w:rFonts w:ascii="Calibri" w:hAnsi="Calibri" w:cs="Arial"/>
                <w:sz w:val="24"/>
                <w:szCs w:val="24"/>
              </w:rPr>
              <w:t>31.3.20</w:t>
            </w:r>
            <w:r w:rsidR="00A1418A" w:rsidRPr="00432E20">
              <w:rPr>
                <w:rFonts w:ascii="Calibri" w:hAnsi="Calibri" w:cs="Arial"/>
                <w:sz w:val="24"/>
                <w:szCs w:val="24"/>
              </w:rPr>
              <w:t>30</w:t>
            </w:r>
            <w:r w:rsidRPr="00432E20">
              <w:rPr>
                <w:rFonts w:ascii="Calibri" w:hAnsi="Calibri" w:cs="Arial"/>
                <w:sz w:val="24"/>
                <w:szCs w:val="24"/>
              </w:rPr>
              <w:t xml:space="preserve">: </w:t>
            </w:r>
            <w:r w:rsidR="008F2EA2" w:rsidRPr="00EA64C7">
              <w:rPr>
                <w:rFonts w:ascii="Calibri" w:hAnsi="Calibri" w:cs="Arial"/>
                <w:color w:val="FF0000"/>
                <w:sz w:val="24"/>
                <w:szCs w:val="24"/>
              </w:rPr>
              <w:t>£</w:t>
            </w:r>
            <w:r w:rsidR="00EA64C7">
              <w:rPr>
                <w:rFonts w:ascii="Calibri" w:hAnsi="Calibri" w:cs="Arial"/>
                <w:color w:val="FF0000"/>
                <w:sz w:val="24"/>
                <w:szCs w:val="24"/>
              </w:rPr>
              <w:t>25.17bn</w:t>
            </w:r>
            <w:r w:rsidR="008575DF">
              <w:rPr>
                <w:rFonts w:ascii="Calibri" w:hAnsi="Calibri" w:cs="Arial"/>
                <w:color w:val="FF0000"/>
                <w:sz w:val="24"/>
                <w:szCs w:val="24"/>
              </w:rPr>
              <w:t xml:space="preserve"> Est</w:t>
            </w:r>
          </w:p>
          <w:p w:rsidR="006808EC" w:rsidRPr="00432E20" w:rsidRDefault="00634D3B" w:rsidP="00406134">
            <w:pPr>
              <w:spacing w:line="360" w:lineRule="auto"/>
              <w:ind w:left="317"/>
              <w:rPr>
                <w:rFonts w:ascii="Calibri" w:hAnsi="Calibri" w:cs="Arial"/>
                <w:sz w:val="24"/>
                <w:szCs w:val="24"/>
              </w:rPr>
            </w:pPr>
            <w:r w:rsidRPr="00432E20">
              <w:rPr>
                <w:rFonts w:ascii="Calibri" w:hAnsi="Calibri" w:cs="Arial"/>
                <w:sz w:val="24"/>
                <w:szCs w:val="24"/>
              </w:rPr>
              <w:t>31.3.20</w:t>
            </w:r>
            <w:r w:rsidR="00A1418A" w:rsidRPr="00432E20">
              <w:rPr>
                <w:rFonts w:ascii="Calibri" w:hAnsi="Calibri" w:cs="Arial"/>
                <w:sz w:val="24"/>
                <w:szCs w:val="24"/>
              </w:rPr>
              <w:t>33</w:t>
            </w:r>
            <w:r w:rsidRPr="00432E20">
              <w:rPr>
                <w:rFonts w:ascii="Calibri" w:hAnsi="Calibri" w:cs="Arial"/>
                <w:sz w:val="24"/>
                <w:szCs w:val="24"/>
              </w:rPr>
              <w:t xml:space="preserve">: </w:t>
            </w:r>
            <w:r w:rsidR="008F2EA2" w:rsidRPr="00A80D21">
              <w:rPr>
                <w:rFonts w:ascii="Calibri" w:hAnsi="Calibri" w:cs="Arial"/>
                <w:color w:val="FF0000"/>
                <w:sz w:val="24"/>
                <w:szCs w:val="24"/>
              </w:rPr>
              <w:t>£</w:t>
            </w:r>
            <w:r w:rsidR="00406134">
              <w:rPr>
                <w:rFonts w:ascii="Calibri" w:hAnsi="Calibri" w:cs="Arial"/>
                <w:color w:val="FF0000"/>
                <w:sz w:val="24"/>
                <w:szCs w:val="24"/>
              </w:rPr>
              <w:t>29.09bn</w:t>
            </w:r>
            <w:r w:rsidR="00EA64C7">
              <w:rPr>
                <w:rFonts w:ascii="Calibri" w:hAnsi="Calibri" w:cs="Arial"/>
                <w:color w:val="FF0000"/>
                <w:sz w:val="24"/>
                <w:szCs w:val="24"/>
              </w:rPr>
              <w:t xml:space="preserve"> </w:t>
            </w:r>
            <w:r w:rsidR="008575DF">
              <w:rPr>
                <w:rFonts w:ascii="Calibri" w:hAnsi="Calibri" w:cs="Arial"/>
                <w:color w:val="FF0000"/>
                <w:sz w:val="24"/>
                <w:szCs w:val="24"/>
              </w:rPr>
              <w:t>Est</w:t>
            </w:r>
          </w:p>
        </w:tc>
      </w:tr>
    </w:tbl>
    <w:p w:rsidR="00A7164B" w:rsidRPr="00432E20" w:rsidRDefault="00412637" w:rsidP="00A75C9E">
      <w:pPr>
        <w:rPr>
          <w:rFonts w:ascii="Calibri" w:hAnsi="Calibri" w:cs="Arial"/>
          <w:b/>
          <w:sz w:val="24"/>
          <w:szCs w:val="24"/>
        </w:rPr>
      </w:pPr>
      <w:r w:rsidRPr="00432E20">
        <w:rPr>
          <w:rFonts w:ascii="Calibri" w:hAnsi="Calibri" w:cs="Arial"/>
          <w:b/>
          <w:sz w:val="24"/>
          <w:szCs w:val="24"/>
        </w:rPr>
        <w:br w:type="page"/>
      </w:r>
      <w:r w:rsidR="00A7164B" w:rsidRPr="00432E20">
        <w:rPr>
          <w:rFonts w:ascii="Calibri" w:hAnsi="Calibri" w:cs="Arial"/>
          <w:b/>
          <w:sz w:val="24"/>
          <w:szCs w:val="24"/>
        </w:rPr>
        <w:lastRenderedPageBreak/>
        <w:t>Criteri</w:t>
      </w:r>
      <w:r w:rsidR="000A2E78" w:rsidRPr="00432E20">
        <w:rPr>
          <w:rFonts w:ascii="Calibri" w:hAnsi="Calibri" w:cs="Arial"/>
          <w:b/>
          <w:sz w:val="24"/>
          <w:szCs w:val="24"/>
        </w:rPr>
        <w:t>on</w:t>
      </w:r>
      <w:r w:rsidR="00A7164B" w:rsidRPr="00432E20">
        <w:rPr>
          <w:rFonts w:ascii="Calibri" w:hAnsi="Calibri" w:cs="Arial"/>
          <w:b/>
          <w:sz w:val="24"/>
          <w:szCs w:val="24"/>
        </w:rPr>
        <w:t xml:space="preserve"> B: Strong governance and decision making</w:t>
      </w:r>
    </w:p>
    <w:tbl>
      <w:tblPr>
        <w:tblStyle w:val="TableGrid"/>
        <w:tblW w:w="9781" w:type="dxa"/>
        <w:tblInd w:w="-5" w:type="dxa"/>
        <w:tblLook w:val="04A0" w:firstRow="1" w:lastRow="0" w:firstColumn="1" w:lastColumn="0" w:noHBand="0" w:noVBand="1"/>
      </w:tblPr>
      <w:tblGrid>
        <w:gridCol w:w="9781"/>
      </w:tblGrid>
      <w:tr w:rsidR="00123396" w:rsidRPr="00432E20" w:rsidTr="005556F4">
        <w:tc>
          <w:tcPr>
            <w:tcW w:w="9781" w:type="dxa"/>
            <w:shd w:val="clear" w:color="auto" w:fill="000000" w:themeFill="text1"/>
          </w:tcPr>
          <w:p w:rsidR="004C2909" w:rsidRPr="00432E20" w:rsidRDefault="004C2909" w:rsidP="00092E30">
            <w:pPr>
              <w:pStyle w:val="ListParagraph"/>
              <w:numPr>
                <w:ilvl w:val="0"/>
                <w:numId w:val="8"/>
              </w:numPr>
              <w:spacing w:line="360" w:lineRule="auto"/>
              <w:rPr>
                <w:rFonts w:ascii="Calibri" w:hAnsi="Calibri" w:cs="Arial"/>
                <w:b/>
                <w:color w:val="FFFFFF" w:themeColor="background1"/>
                <w:sz w:val="24"/>
                <w:szCs w:val="24"/>
              </w:rPr>
            </w:pPr>
            <w:r w:rsidRPr="00432E20">
              <w:rPr>
                <w:rFonts w:ascii="Calibri" w:hAnsi="Calibri" w:cs="Arial"/>
                <w:b/>
                <w:color w:val="FFFFFF" w:themeColor="background1"/>
                <w:sz w:val="24"/>
                <w:szCs w:val="24"/>
              </w:rPr>
              <w:t xml:space="preserve">The governance structure for their pool, including the accountability between the pool and </w:t>
            </w:r>
            <w:r w:rsidR="008F2EA2" w:rsidRPr="00432E20">
              <w:rPr>
                <w:rFonts w:ascii="Calibri" w:hAnsi="Calibri" w:cs="Arial"/>
                <w:b/>
                <w:color w:val="FFFFFF" w:themeColor="background1"/>
                <w:sz w:val="24"/>
                <w:szCs w:val="24"/>
              </w:rPr>
              <w:t>elected councillors and how external scrutiny will be used</w:t>
            </w:r>
            <w:r w:rsidR="00A562A0" w:rsidRPr="00432E20">
              <w:rPr>
                <w:rFonts w:ascii="Calibri" w:hAnsi="Calibri" w:cs="Arial"/>
                <w:b/>
                <w:color w:val="FFFFFF" w:themeColor="background1"/>
                <w:sz w:val="24"/>
                <w:szCs w:val="24"/>
              </w:rPr>
              <w:t>.</w:t>
            </w:r>
          </w:p>
        </w:tc>
      </w:tr>
      <w:tr w:rsidR="004C2909" w:rsidRPr="00432E20" w:rsidTr="005556F4">
        <w:tc>
          <w:tcPr>
            <w:tcW w:w="9781" w:type="dxa"/>
          </w:tcPr>
          <w:p w:rsidR="004C2909" w:rsidRPr="00432E20" w:rsidRDefault="005556F4" w:rsidP="00092E30">
            <w:pPr>
              <w:pStyle w:val="ListParagraph"/>
              <w:numPr>
                <w:ilvl w:val="0"/>
                <w:numId w:val="9"/>
              </w:numPr>
              <w:rPr>
                <w:rFonts w:ascii="Calibri" w:hAnsi="Calibri" w:cs="Arial"/>
                <w:sz w:val="24"/>
                <w:szCs w:val="24"/>
              </w:rPr>
            </w:pPr>
            <w:r w:rsidRPr="00432E20">
              <w:rPr>
                <w:rFonts w:ascii="Calibri" w:hAnsi="Calibri" w:cs="Arial"/>
                <w:sz w:val="24"/>
                <w:szCs w:val="24"/>
              </w:rPr>
              <w:t xml:space="preserve">Please briefly describe the mechanisms within the pool structure for ensuring that individual </w:t>
            </w:r>
            <w:r w:rsidR="00BB0E3C" w:rsidRPr="00432E20">
              <w:rPr>
                <w:rFonts w:ascii="Calibri" w:hAnsi="Calibri" w:cs="Arial"/>
                <w:sz w:val="24"/>
                <w:szCs w:val="24"/>
              </w:rPr>
              <w:t xml:space="preserve">authorities' </w:t>
            </w:r>
            <w:r w:rsidRPr="00432E20">
              <w:rPr>
                <w:rFonts w:ascii="Calibri" w:hAnsi="Calibri" w:cs="Arial"/>
                <w:sz w:val="24"/>
                <w:szCs w:val="24"/>
              </w:rPr>
              <w:t>views can be expressed and taken account of</w:t>
            </w:r>
            <w:r w:rsidR="000273E3" w:rsidRPr="00432E20">
              <w:rPr>
                <w:rFonts w:ascii="Calibri" w:hAnsi="Calibri" w:cs="Arial"/>
                <w:sz w:val="24"/>
                <w:szCs w:val="24"/>
              </w:rPr>
              <w:t>,</w:t>
            </w:r>
            <w:r w:rsidRPr="00432E20">
              <w:rPr>
                <w:rFonts w:ascii="Calibri" w:hAnsi="Calibri" w:cs="Arial"/>
                <w:sz w:val="24"/>
                <w:szCs w:val="24"/>
              </w:rPr>
              <w:t xml:space="preserve"> including voting rights</w:t>
            </w:r>
            <w:r w:rsidR="00A562A0" w:rsidRPr="00432E20">
              <w:rPr>
                <w:rFonts w:ascii="Calibri" w:hAnsi="Calibri" w:cs="Arial"/>
                <w:sz w:val="24"/>
                <w:szCs w:val="24"/>
              </w:rPr>
              <w:t>.</w:t>
            </w:r>
          </w:p>
        </w:tc>
      </w:tr>
      <w:tr w:rsidR="004C2909" w:rsidRPr="00432E20" w:rsidTr="00237ACD">
        <w:trPr>
          <w:trHeight w:val="70"/>
        </w:trPr>
        <w:tc>
          <w:tcPr>
            <w:tcW w:w="9781" w:type="dxa"/>
          </w:tcPr>
          <w:p w:rsidR="003D3964" w:rsidRDefault="003D3964" w:rsidP="003D3964">
            <w:pPr>
              <w:spacing w:line="360" w:lineRule="auto"/>
              <w:ind w:left="727"/>
              <w:rPr>
                <w:rFonts w:cs="Arial"/>
                <w:color w:val="4472C4" w:themeColor="accent5"/>
                <w:sz w:val="24"/>
                <w:szCs w:val="24"/>
              </w:rPr>
            </w:pPr>
            <w:r>
              <w:rPr>
                <w:rFonts w:cs="Arial"/>
                <w:color w:val="4472C4" w:themeColor="accent5"/>
                <w:sz w:val="24"/>
                <w:szCs w:val="24"/>
              </w:rPr>
              <w:t>T</w:t>
            </w:r>
            <w:r w:rsidRPr="0033620B">
              <w:rPr>
                <w:rFonts w:cs="Arial"/>
                <w:color w:val="4472C4" w:themeColor="accent5"/>
                <w:sz w:val="24"/>
                <w:szCs w:val="24"/>
              </w:rPr>
              <w:t xml:space="preserve">he governance structure of the CIV and the role that </w:t>
            </w:r>
            <w:r w:rsidR="009F15E9">
              <w:rPr>
                <w:rFonts w:cs="Arial"/>
                <w:color w:val="4472C4" w:themeColor="accent5"/>
                <w:sz w:val="24"/>
                <w:szCs w:val="24"/>
              </w:rPr>
              <w:t>Authorities</w:t>
            </w:r>
            <w:r w:rsidRPr="0033620B">
              <w:rPr>
                <w:rFonts w:cs="Arial"/>
                <w:color w:val="4472C4" w:themeColor="accent5"/>
                <w:sz w:val="24"/>
                <w:szCs w:val="24"/>
              </w:rPr>
              <w:t xml:space="preserve"> play in this is crucial to understanding how decisions are made in the CIV and the interaction that there has to be. All participating </w:t>
            </w:r>
            <w:r w:rsidR="009F15E9">
              <w:rPr>
                <w:rFonts w:cs="Arial"/>
                <w:color w:val="4472C4" w:themeColor="accent5"/>
                <w:sz w:val="24"/>
                <w:szCs w:val="24"/>
              </w:rPr>
              <w:t>London Local Authorities</w:t>
            </w:r>
            <w:r w:rsidRPr="0033620B">
              <w:rPr>
                <w:rFonts w:cs="Arial"/>
                <w:color w:val="4472C4" w:themeColor="accent5"/>
                <w:sz w:val="24"/>
                <w:szCs w:val="24"/>
              </w:rPr>
              <w:t xml:space="preserve"> are </w:t>
            </w:r>
            <w:r w:rsidR="000F0E0F">
              <w:rPr>
                <w:rFonts w:cs="Arial"/>
                <w:color w:val="4472C4" w:themeColor="accent5"/>
                <w:sz w:val="24"/>
                <w:szCs w:val="24"/>
              </w:rPr>
              <w:t xml:space="preserve">both </w:t>
            </w:r>
            <w:r w:rsidRPr="0033620B">
              <w:rPr>
                <w:rFonts w:cs="Arial"/>
                <w:color w:val="4472C4" w:themeColor="accent5"/>
                <w:sz w:val="24"/>
                <w:szCs w:val="24"/>
              </w:rPr>
              <w:t xml:space="preserve">shareholders </w:t>
            </w:r>
            <w:r w:rsidR="000F0E0F">
              <w:rPr>
                <w:rFonts w:cs="Arial"/>
                <w:color w:val="4472C4" w:themeColor="accent5"/>
                <w:sz w:val="24"/>
                <w:szCs w:val="24"/>
              </w:rPr>
              <w:t xml:space="preserve">and investors </w:t>
            </w:r>
            <w:r w:rsidRPr="0033620B">
              <w:rPr>
                <w:rFonts w:cs="Arial"/>
                <w:color w:val="4472C4" w:themeColor="accent5"/>
                <w:sz w:val="24"/>
                <w:szCs w:val="24"/>
              </w:rPr>
              <w:t xml:space="preserve">in the London CIV company and as such the CIV is accountable to the </w:t>
            </w:r>
            <w:r w:rsidR="009F15E9">
              <w:rPr>
                <w:rFonts w:cs="Arial"/>
                <w:color w:val="4472C4" w:themeColor="accent5"/>
                <w:sz w:val="24"/>
                <w:szCs w:val="24"/>
              </w:rPr>
              <w:t>Authorities</w:t>
            </w:r>
            <w:r w:rsidR="000F0E0F">
              <w:rPr>
                <w:rFonts w:cs="Arial"/>
                <w:color w:val="4472C4" w:themeColor="accent5"/>
                <w:sz w:val="24"/>
                <w:szCs w:val="24"/>
              </w:rPr>
              <w:t xml:space="preserve"> at both levels</w:t>
            </w:r>
            <w:r w:rsidRPr="0033620B">
              <w:rPr>
                <w:rFonts w:cs="Arial"/>
                <w:color w:val="4472C4" w:themeColor="accent5"/>
                <w:sz w:val="24"/>
                <w:szCs w:val="24"/>
              </w:rPr>
              <w:t>.</w:t>
            </w:r>
          </w:p>
          <w:p w:rsidR="003D3964" w:rsidRDefault="003D3964" w:rsidP="003D3964">
            <w:pPr>
              <w:spacing w:line="360" w:lineRule="auto"/>
              <w:ind w:left="727"/>
              <w:rPr>
                <w:rFonts w:cs="Arial"/>
                <w:color w:val="4472C4" w:themeColor="accent5"/>
                <w:sz w:val="24"/>
                <w:szCs w:val="24"/>
              </w:rPr>
            </w:pPr>
            <w:r w:rsidRPr="0033620B">
              <w:rPr>
                <w:rFonts w:cs="Arial"/>
                <w:color w:val="4472C4" w:themeColor="accent5"/>
                <w:sz w:val="24"/>
                <w:szCs w:val="24"/>
              </w:rPr>
              <w:t xml:space="preserve">The governance structure of the CIV has been designed to ensure that there are formal and informal routes to </w:t>
            </w:r>
            <w:r w:rsidR="000F0E0F">
              <w:rPr>
                <w:rFonts w:cs="Arial"/>
                <w:color w:val="4472C4" w:themeColor="accent5"/>
                <w:sz w:val="24"/>
                <w:szCs w:val="24"/>
              </w:rPr>
              <w:t xml:space="preserve">facilitate </w:t>
            </w:r>
            <w:r w:rsidRPr="0033620B">
              <w:rPr>
                <w:rFonts w:cs="Arial"/>
                <w:color w:val="4472C4" w:themeColor="accent5"/>
                <w:sz w:val="24"/>
                <w:szCs w:val="24"/>
              </w:rPr>
              <w:t>engage</w:t>
            </w:r>
            <w:r w:rsidR="000F0E0F">
              <w:rPr>
                <w:rFonts w:cs="Arial"/>
                <w:color w:val="4472C4" w:themeColor="accent5"/>
                <w:sz w:val="24"/>
                <w:szCs w:val="24"/>
              </w:rPr>
              <w:t>ment</w:t>
            </w:r>
            <w:r w:rsidRPr="0033620B">
              <w:rPr>
                <w:rFonts w:cs="Arial"/>
                <w:color w:val="4472C4" w:themeColor="accent5"/>
                <w:sz w:val="24"/>
                <w:szCs w:val="24"/>
              </w:rPr>
              <w:t xml:space="preserve"> with all the </w:t>
            </w:r>
            <w:r w:rsidR="009F15E9">
              <w:rPr>
                <w:rFonts w:cs="Arial"/>
                <w:color w:val="4472C4" w:themeColor="accent5"/>
                <w:sz w:val="24"/>
                <w:szCs w:val="24"/>
              </w:rPr>
              <w:t>Authorities</w:t>
            </w:r>
            <w:r w:rsidRPr="0033620B">
              <w:rPr>
                <w:rFonts w:cs="Arial"/>
                <w:color w:val="4472C4" w:themeColor="accent5"/>
                <w:sz w:val="24"/>
                <w:szCs w:val="24"/>
              </w:rPr>
              <w:t xml:space="preserve">. This is achieved through a combination of the London Councils’ </w:t>
            </w:r>
            <w:r>
              <w:rPr>
                <w:rFonts w:cs="Arial"/>
                <w:color w:val="4472C4" w:themeColor="accent5"/>
                <w:sz w:val="24"/>
                <w:szCs w:val="24"/>
              </w:rPr>
              <w:t xml:space="preserve">Pensions </w:t>
            </w:r>
            <w:r w:rsidRPr="0033620B">
              <w:rPr>
                <w:rFonts w:cs="Arial"/>
                <w:color w:val="4472C4" w:themeColor="accent5"/>
                <w:sz w:val="24"/>
                <w:szCs w:val="24"/>
              </w:rPr>
              <w:t>Sectoral Joint Committee</w:t>
            </w:r>
            <w:r>
              <w:rPr>
                <w:rFonts w:cs="Arial"/>
                <w:color w:val="4472C4" w:themeColor="accent5"/>
                <w:sz w:val="24"/>
                <w:szCs w:val="24"/>
              </w:rPr>
              <w:t xml:space="preserve"> (PSJC)</w:t>
            </w:r>
            <w:r w:rsidRPr="0033620B">
              <w:rPr>
                <w:rFonts w:cs="Arial"/>
                <w:color w:val="4472C4" w:themeColor="accent5"/>
                <w:sz w:val="24"/>
                <w:szCs w:val="24"/>
              </w:rPr>
              <w:t xml:space="preserve">, comprising </w:t>
            </w:r>
            <w:r w:rsidR="000F0E0F">
              <w:rPr>
                <w:rFonts w:cs="Arial"/>
                <w:color w:val="4472C4" w:themeColor="accent5"/>
                <w:sz w:val="24"/>
                <w:szCs w:val="24"/>
              </w:rPr>
              <w:t>nominated</w:t>
            </w:r>
            <w:r w:rsidR="000F0E0F" w:rsidRPr="0033620B">
              <w:rPr>
                <w:rFonts w:cs="Arial"/>
                <w:color w:val="4472C4" w:themeColor="accent5"/>
                <w:sz w:val="24"/>
                <w:szCs w:val="24"/>
              </w:rPr>
              <w:t xml:space="preserve"> </w:t>
            </w:r>
            <w:r w:rsidR="000F0E0F">
              <w:rPr>
                <w:rFonts w:cs="Arial"/>
                <w:color w:val="4472C4" w:themeColor="accent5"/>
                <w:sz w:val="24"/>
                <w:szCs w:val="24"/>
              </w:rPr>
              <w:t xml:space="preserve">elected </w:t>
            </w:r>
            <w:r w:rsidRPr="0033620B">
              <w:rPr>
                <w:rFonts w:cs="Arial"/>
                <w:color w:val="4472C4" w:themeColor="accent5"/>
                <w:sz w:val="24"/>
                <w:szCs w:val="24"/>
              </w:rPr>
              <w:t xml:space="preserve">Member representatives </w:t>
            </w:r>
            <w:r w:rsidR="009F15E9">
              <w:rPr>
                <w:rFonts w:cs="Arial"/>
                <w:color w:val="4472C4" w:themeColor="accent5"/>
                <w:sz w:val="24"/>
                <w:szCs w:val="24"/>
              </w:rPr>
              <w:t>Authorities</w:t>
            </w:r>
            <w:r w:rsidRPr="0033620B">
              <w:rPr>
                <w:rFonts w:cs="Arial"/>
                <w:color w:val="4472C4" w:themeColor="accent5"/>
                <w:sz w:val="24"/>
                <w:szCs w:val="24"/>
              </w:rPr>
              <w:t>(in most cases the Pensions Committee Chair), and the Investment Advisory Committee (“IAC”</w:t>
            </w:r>
            <w:r w:rsidR="000F0E0F">
              <w:rPr>
                <w:rFonts w:cs="Arial"/>
                <w:color w:val="4472C4" w:themeColor="accent5"/>
                <w:sz w:val="24"/>
                <w:szCs w:val="24"/>
              </w:rPr>
              <w:t>)</w:t>
            </w:r>
            <w:r w:rsidRPr="0033620B">
              <w:rPr>
                <w:rFonts w:cs="Arial"/>
                <w:color w:val="4472C4" w:themeColor="accent5"/>
                <w:sz w:val="24"/>
                <w:szCs w:val="24"/>
              </w:rPr>
              <w:t xml:space="preserve"> formed from nominated borough officers, which includes both </w:t>
            </w:r>
            <w:r w:rsidR="000F0E0F">
              <w:rPr>
                <w:rFonts w:cs="Arial"/>
                <w:color w:val="4472C4" w:themeColor="accent5"/>
                <w:sz w:val="24"/>
                <w:szCs w:val="24"/>
              </w:rPr>
              <w:t>Treasurers</w:t>
            </w:r>
            <w:r w:rsidR="000F0E0F" w:rsidRPr="0033620B">
              <w:rPr>
                <w:rFonts w:cs="Arial"/>
                <w:color w:val="4472C4" w:themeColor="accent5"/>
                <w:sz w:val="24"/>
                <w:szCs w:val="24"/>
              </w:rPr>
              <w:t xml:space="preserve"> </w:t>
            </w:r>
            <w:r w:rsidRPr="0033620B">
              <w:rPr>
                <w:rFonts w:cs="Arial"/>
                <w:color w:val="4472C4" w:themeColor="accent5"/>
                <w:sz w:val="24"/>
                <w:szCs w:val="24"/>
              </w:rPr>
              <w:t xml:space="preserve">and Pension Officers from a </w:t>
            </w:r>
            <w:r w:rsidR="000F0E0F">
              <w:rPr>
                <w:rFonts w:cs="Arial"/>
                <w:color w:val="4472C4" w:themeColor="accent5"/>
                <w:sz w:val="24"/>
                <w:szCs w:val="24"/>
              </w:rPr>
              <w:t xml:space="preserve">representative sample </w:t>
            </w:r>
            <w:r w:rsidRPr="0033620B">
              <w:rPr>
                <w:rFonts w:cs="Arial"/>
                <w:color w:val="4472C4" w:themeColor="accent5"/>
                <w:sz w:val="24"/>
                <w:szCs w:val="24"/>
              </w:rPr>
              <w:t xml:space="preserve">of </w:t>
            </w:r>
            <w:r w:rsidR="009F15E9">
              <w:rPr>
                <w:rFonts w:cs="Arial"/>
                <w:color w:val="4472C4" w:themeColor="accent5"/>
                <w:sz w:val="24"/>
                <w:szCs w:val="24"/>
              </w:rPr>
              <w:t>Authorities</w:t>
            </w:r>
            <w:r w:rsidRPr="0033620B">
              <w:rPr>
                <w:rFonts w:cs="Arial"/>
                <w:color w:val="4472C4" w:themeColor="accent5"/>
                <w:sz w:val="24"/>
                <w:szCs w:val="24"/>
              </w:rPr>
              <w:t>.</w:t>
            </w:r>
          </w:p>
          <w:p w:rsidR="003D3964" w:rsidRPr="0033620B" w:rsidRDefault="003D3964" w:rsidP="003D3964">
            <w:pPr>
              <w:spacing w:line="360" w:lineRule="auto"/>
              <w:ind w:left="727"/>
              <w:rPr>
                <w:rFonts w:cs="Arial"/>
                <w:color w:val="4472C4" w:themeColor="accent5"/>
                <w:sz w:val="24"/>
                <w:szCs w:val="24"/>
              </w:rPr>
            </w:pPr>
            <w:r>
              <w:rPr>
                <w:rFonts w:cs="Arial"/>
                <w:color w:val="4472C4" w:themeColor="accent5"/>
                <w:sz w:val="24"/>
                <w:szCs w:val="24"/>
              </w:rPr>
              <w:t xml:space="preserve">The </w:t>
            </w:r>
            <w:r w:rsidR="00E03A53">
              <w:rPr>
                <w:rFonts w:cs="Arial"/>
                <w:color w:val="4472C4" w:themeColor="accent5"/>
                <w:sz w:val="24"/>
                <w:szCs w:val="24"/>
              </w:rPr>
              <w:t xml:space="preserve">share structure of London CIV provides for equal voting rights for </w:t>
            </w:r>
            <w:r>
              <w:rPr>
                <w:rFonts w:cs="Arial"/>
                <w:color w:val="4472C4" w:themeColor="accent5"/>
                <w:sz w:val="24"/>
                <w:szCs w:val="24"/>
              </w:rPr>
              <w:t xml:space="preserve">each authority </w:t>
            </w:r>
            <w:r w:rsidR="00E03A53">
              <w:rPr>
                <w:rFonts w:cs="Arial"/>
                <w:color w:val="4472C4" w:themeColor="accent5"/>
                <w:sz w:val="24"/>
                <w:szCs w:val="24"/>
              </w:rPr>
              <w:t xml:space="preserve">on a </w:t>
            </w:r>
            <w:r>
              <w:rPr>
                <w:rFonts w:cs="Arial"/>
                <w:color w:val="4472C4" w:themeColor="accent5"/>
                <w:sz w:val="24"/>
                <w:szCs w:val="24"/>
              </w:rPr>
              <w:t xml:space="preserve">one share one vote </w:t>
            </w:r>
            <w:r w:rsidR="00E03A53">
              <w:rPr>
                <w:rFonts w:cs="Arial"/>
                <w:color w:val="4472C4" w:themeColor="accent5"/>
                <w:sz w:val="24"/>
                <w:szCs w:val="24"/>
              </w:rPr>
              <w:t xml:space="preserve">basis, this </w:t>
            </w:r>
            <w:r>
              <w:rPr>
                <w:rFonts w:cs="Arial"/>
                <w:color w:val="4472C4" w:themeColor="accent5"/>
                <w:sz w:val="24"/>
                <w:szCs w:val="24"/>
              </w:rPr>
              <w:t>is a key tenet of the decision making process.</w:t>
            </w:r>
          </w:p>
          <w:p w:rsidR="004C2909" w:rsidRPr="00432E20" w:rsidRDefault="004C2909" w:rsidP="004C2909">
            <w:pPr>
              <w:spacing w:line="360" w:lineRule="auto"/>
              <w:ind w:left="727"/>
              <w:rPr>
                <w:rFonts w:ascii="Calibri" w:hAnsi="Calibri" w:cs="Arial"/>
                <w:sz w:val="24"/>
                <w:szCs w:val="24"/>
              </w:rPr>
            </w:pPr>
          </w:p>
        </w:tc>
      </w:tr>
      <w:tr w:rsidR="00A562A0" w:rsidRPr="00432E20" w:rsidTr="00F91A61">
        <w:trPr>
          <w:trHeight w:val="70"/>
        </w:trPr>
        <w:tc>
          <w:tcPr>
            <w:tcW w:w="9781" w:type="dxa"/>
          </w:tcPr>
          <w:p w:rsidR="00A562A0" w:rsidRPr="00432E20" w:rsidRDefault="00A562A0" w:rsidP="00092E30">
            <w:pPr>
              <w:pStyle w:val="ListParagraph"/>
              <w:numPr>
                <w:ilvl w:val="0"/>
                <w:numId w:val="9"/>
              </w:numPr>
              <w:rPr>
                <w:rFonts w:ascii="Calibri" w:hAnsi="Calibri" w:cs="Arial"/>
                <w:sz w:val="24"/>
                <w:szCs w:val="24"/>
              </w:rPr>
            </w:pPr>
            <w:r w:rsidRPr="00432E20">
              <w:rPr>
                <w:rFonts w:ascii="Calibri" w:hAnsi="Calibri" w:cs="Arial"/>
                <w:sz w:val="24"/>
                <w:szCs w:val="24"/>
              </w:rPr>
              <w:t>Please list and briefly describe the role of those bodies and/or suppliers that will be used to provide external scrutiny of the pool (including the Pensions Committee and local Pension Board).</w:t>
            </w:r>
          </w:p>
        </w:tc>
      </w:tr>
      <w:tr w:rsidR="00A562A0" w:rsidRPr="00432E20" w:rsidTr="00A56BCB">
        <w:trPr>
          <w:trHeight w:val="70"/>
        </w:trPr>
        <w:tc>
          <w:tcPr>
            <w:tcW w:w="9781" w:type="dxa"/>
          </w:tcPr>
          <w:p w:rsidR="003D3964" w:rsidRPr="002E2707" w:rsidRDefault="003D3964" w:rsidP="00092E30">
            <w:pPr>
              <w:pStyle w:val="ListParagraph"/>
              <w:numPr>
                <w:ilvl w:val="0"/>
                <w:numId w:val="8"/>
              </w:numPr>
              <w:spacing w:line="360" w:lineRule="auto"/>
              <w:rPr>
                <w:rFonts w:cs="Arial"/>
                <w:color w:val="2F5496" w:themeColor="accent5" w:themeShade="BF"/>
                <w:sz w:val="24"/>
                <w:szCs w:val="24"/>
              </w:rPr>
            </w:pPr>
            <w:r w:rsidRPr="002E2707">
              <w:rPr>
                <w:rFonts w:cs="Arial"/>
                <w:color w:val="2F5496" w:themeColor="accent5" w:themeShade="BF"/>
              </w:rPr>
              <w:t>As an AIFM London CIV must comply with the Alternative Investment Manager Directive (“</w:t>
            </w:r>
            <w:r w:rsidRPr="002E2707">
              <w:rPr>
                <w:rFonts w:cs="Arial"/>
                <w:b/>
                <w:color w:val="2F5496" w:themeColor="accent5" w:themeShade="BF"/>
              </w:rPr>
              <w:t>AIFMD</w:t>
            </w:r>
            <w:r w:rsidRPr="002E2707">
              <w:rPr>
                <w:rFonts w:cs="Arial"/>
                <w:color w:val="2F5496" w:themeColor="accent5" w:themeShade="BF"/>
              </w:rPr>
              <w:t>”) and falls under the regulatory scrutiny and reporting regime of the Financial Conduct Authority (“</w:t>
            </w:r>
            <w:r w:rsidRPr="002E2707">
              <w:rPr>
                <w:rFonts w:cs="Arial"/>
                <w:b/>
                <w:color w:val="2F5496" w:themeColor="accent5" w:themeShade="BF"/>
              </w:rPr>
              <w:t>FCA</w:t>
            </w:r>
            <w:r w:rsidRPr="002E2707">
              <w:rPr>
                <w:rFonts w:cs="Arial"/>
                <w:color w:val="2F5496" w:themeColor="accent5" w:themeShade="BF"/>
              </w:rPr>
              <w:t>”). This includes the requirement for robust systems and processes and for these to be documented appropriately in policies and manuals. Risk management is a particular focus for the FCA and London CIV has developed a risk framework and risk register covering all areas of it</w:t>
            </w:r>
            <w:r w:rsidR="00E03A53">
              <w:rPr>
                <w:rFonts w:cs="Arial"/>
                <w:color w:val="2F5496" w:themeColor="accent5" w:themeShade="BF"/>
              </w:rPr>
              <w:t>s</w:t>
            </w:r>
            <w:r w:rsidRPr="002E2707">
              <w:rPr>
                <w:rFonts w:cs="Arial"/>
                <w:color w:val="2F5496" w:themeColor="accent5" w:themeShade="BF"/>
              </w:rPr>
              <w:t xml:space="preserve"> operations, including fund management.</w:t>
            </w:r>
          </w:p>
          <w:p w:rsidR="003D3964" w:rsidRDefault="003D3964" w:rsidP="00FB468B">
            <w:pPr>
              <w:pStyle w:val="ListParagraph"/>
              <w:numPr>
                <w:ilvl w:val="0"/>
                <w:numId w:val="8"/>
              </w:numPr>
              <w:spacing w:after="120" w:line="360" w:lineRule="auto"/>
              <w:contextualSpacing w:val="0"/>
              <w:jc w:val="both"/>
              <w:rPr>
                <w:rFonts w:cs="Arial"/>
                <w:color w:val="2F5496" w:themeColor="accent5" w:themeShade="BF"/>
              </w:rPr>
            </w:pPr>
            <w:r w:rsidRPr="002E2707">
              <w:rPr>
                <w:rFonts w:cs="Arial"/>
                <w:color w:val="2F5496" w:themeColor="accent5" w:themeShade="BF"/>
              </w:rPr>
              <w:t>The Pensions Sectoral Joint Committee (“P</w:t>
            </w:r>
            <w:r w:rsidRPr="002E2707">
              <w:rPr>
                <w:rFonts w:cs="Arial"/>
                <w:b/>
                <w:color w:val="2F5496" w:themeColor="accent5" w:themeShade="BF"/>
              </w:rPr>
              <w:t>SJC</w:t>
            </w:r>
            <w:r w:rsidRPr="002E2707">
              <w:rPr>
                <w:rFonts w:cs="Arial"/>
                <w:color w:val="2F5496" w:themeColor="accent5" w:themeShade="BF"/>
              </w:rPr>
              <w:t xml:space="preserve">”) has been established under the governing arrangements of London Councils. The PSJC effectively fulfils two roles, one is as a mechanism for convening elected Member representation from each borough (generally the borough’s Pension Committee Chair), and the other is as the route to convening the </w:t>
            </w:r>
            <w:r w:rsidR="009F15E9">
              <w:rPr>
                <w:rFonts w:cs="Arial"/>
                <w:color w:val="2F5496" w:themeColor="accent5" w:themeShade="BF"/>
              </w:rPr>
              <w:t>Authorities</w:t>
            </w:r>
            <w:r w:rsidRPr="002E2707">
              <w:rPr>
                <w:rFonts w:cs="Arial"/>
                <w:color w:val="2F5496" w:themeColor="accent5" w:themeShade="BF"/>
              </w:rPr>
              <w:t xml:space="preserve"> as shareholders in London CIV.</w:t>
            </w:r>
            <w:r>
              <w:rPr>
                <w:rFonts w:cs="Arial"/>
                <w:color w:val="2F5496" w:themeColor="accent5" w:themeShade="BF"/>
              </w:rPr>
              <w:t xml:space="preserve"> This Committee will provide scrutiny and oversight of the CIV for the </w:t>
            </w:r>
            <w:r w:rsidR="009F15E9">
              <w:rPr>
                <w:rFonts w:cs="Arial"/>
                <w:color w:val="2F5496" w:themeColor="accent5" w:themeShade="BF"/>
              </w:rPr>
              <w:t>Authorities</w:t>
            </w:r>
            <w:r>
              <w:rPr>
                <w:rFonts w:cs="Arial"/>
                <w:color w:val="2F5496" w:themeColor="accent5" w:themeShade="BF"/>
              </w:rPr>
              <w:t xml:space="preserve">, with </w:t>
            </w:r>
            <w:r>
              <w:rPr>
                <w:rFonts w:cs="Arial"/>
                <w:color w:val="2F5496" w:themeColor="accent5" w:themeShade="BF"/>
              </w:rPr>
              <w:lastRenderedPageBreak/>
              <w:t>each Borough represented on the Committee with voting rights.</w:t>
            </w:r>
            <w:r w:rsidRPr="002E2707">
              <w:rPr>
                <w:rFonts w:cs="Arial"/>
                <w:color w:val="2F5496" w:themeColor="accent5" w:themeShade="BF"/>
              </w:rPr>
              <w:t xml:space="preserve"> </w:t>
            </w:r>
          </w:p>
          <w:p w:rsidR="00A91D8D" w:rsidRDefault="00A91D8D" w:rsidP="00FB468B">
            <w:pPr>
              <w:pStyle w:val="ListParagraph"/>
              <w:numPr>
                <w:ilvl w:val="0"/>
                <w:numId w:val="8"/>
              </w:numPr>
              <w:spacing w:after="120" w:line="360" w:lineRule="auto"/>
              <w:contextualSpacing w:val="0"/>
              <w:jc w:val="both"/>
              <w:rPr>
                <w:rFonts w:cs="Arial"/>
                <w:color w:val="2F5496" w:themeColor="accent5" w:themeShade="BF"/>
              </w:rPr>
            </w:pPr>
            <w:r>
              <w:rPr>
                <w:rFonts w:cs="Arial"/>
                <w:color w:val="2F5496" w:themeColor="accent5" w:themeShade="BF"/>
              </w:rPr>
              <w:t>Borough Pension Committees – In most instances the Chair of the Pensions Committee at a Borough level will be the delegated representative on the PSJC and will be able to provide an overview back to the individual Committee on the work of the London CIV and its effe</w:t>
            </w:r>
            <w:r w:rsidR="0047760E">
              <w:rPr>
                <w:rFonts w:cs="Arial"/>
                <w:color w:val="2F5496" w:themeColor="accent5" w:themeShade="BF"/>
              </w:rPr>
              <w:t>ctiveness from attending the PSJ</w:t>
            </w:r>
            <w:r>
              <w:rPr>
                <w:rFonts w:cs="Arial"/>
                <w:color w:val="2F5496" w:themeColor="accent5" w:themeShade="BF"/>
              </w:rPr>
              <w:t xml:space="preserve">C. </w:t>
            </w:r>
            <w:r w:rsidR="0047760E">
              <w:rPr>
                <w:rFonts w:cs="Arial"/>
                <w:color w:val="2F5496" w:themeColor="accent5" w:themeShade="BF"/>
              </w:rPr>
              <w:t xml:space="preserve">In addition the London CIV will provide regular updates to </w:t>
            </w:r>
            <w:r w:rsidR="009F15E9">
              <w:rPr>
                <w:rFonts w:cs="Arial"/>
                <w:color w:val="2F5496" w:themeColor="accent5" w:themeShade="BF"/>
              </w:rPr>
              <w:t>Authorities</w:t>
            </w:r>
            <w:r w:rsidR="0047760E">
              <w:rPr>
                <w:rFonts w:cs="Arial"/>
                <w:color w:val="2F5496" w:themeColor="accent5" w:themeShade="BF"/>
              </w:rPr>
              <w:t xml:space="preserve"> through its written reports and will also attend Committee meetings as and when required and in this way will help to ensure that the individual Pensions Committee are able to provide scrutiny of the London CIV.</w:t>
            </w:r>
          </w:p>
          <w:p w:rsidR="003D3964" w:rsidRDefault="003D3964" w:rsidP="00FB468B">
            <w:pPr>
              <w:pStyle w:val="ListParagraph"/>
              <w:numPr>
                <w:ilvl w:val="0"/>
                <w:numId w:val="8"/>
              </w:numPr>
              <w:spacing w:after="120" w:line="360" w:lineRule="auto"/>
              <w:contextualSpacing w:val="0"/>
              <w:jc w:val="both"/>
              <w:rPr>
                <w:rFonts w:cs="Arial"/>
                <w:color w:val="2F5496" w:themeColor="accent5" w:themeShade="BF"/>
              </w:rPr>
            </w:pPr>
            <w:r>
              <w:rPr>
                <w:rFonts w:cs="Arial"/>
                <w:color w:val="2F5496" w:themeColor="accent5" w:themeShade="BF"/>
              </w:rPr>
              <w:t xml:space="preserve">Pensions Boards – The role of Pension Boards is to assist the Administering Authority in ensuring compliance with the regulatory framework which the Fund operates in. Whilst in the first instance the CIV will be accountable to the relevant Pensions Committees of its shareholders and investors, if they are unable to receive the necessary assurance, then the Pensions Board can in turn seek to gain that assurance direct that the Administering Authority is compliant with the regulations. </w:t>
            </w:r>
          </w:p>
          <w:p w:rsidR="00A562A0" w:rsidRPr="00A91D8D" w:rsidRDefault="003D3964" w:rsidP="00A91D8D">
            <w:pPr>
              <w:pStyle w:val="ListParagraph"/>
              <w:numPr>
                <w:ilvl w:val="0"/>
                <w:numId w:val="8"/>
              </w:numPr>
              <w:spacing w:line="360" w:lineRule="auto"/>
              <w:rPr>
                <w:rFonts w:ascii="Calibri" w:hAnsi="Calibri"/>
                <w:sz w:val="24"/>
              </w:rPr>
            </w:pPr>
            <w:r w:rsidRPr="00141F6B">
              <w:rPr>
                <w:rFonts w:cs="Arial"/>
                <w:color w:val="2F5496" w:themeColor="accent5" w:themeShade="BF"/>
              </w:rPr>
              <w:t>External Audit – Deloittes have been appointed to undertake external audit of</w:t>
            </w:r>
            <w:r w:rsidR="00A91D8D">
              <w:rPr>
                <w:rFonts w:cs="Arial"/>
                <w:color w:val="2F5496" w:themeColor="accent5" w:themeShade="BF"/>
              </w:rPr>
              <w:t xml:space="preserve"> both</w:t>
            </w:r>
            <w:r w:rsidRPr="00141F6B">
              <w:rPr>
                <w:rFonts w:cs="Arial"/>
                <w:color w:val="2F5496" w:themeColor="accent5" w:themeShade="BF"/>
              </w:rPr>
              <w:t xml:space="preserve"> the</w:t>
            </w:r>
            <w:r w:rsidR="00A91D8D">
              <w:rPr>
                <w:rFonts w:cs="Arial"/>
                <w:color w:val="2F5496" w:themeColor="accent5" w:themeShade="BF"/>
              </w:rPr>
              <w:t xml:space="preserve"> company </w:t>
            </w:r>
            <w:r w:rsidR="00912756">
              <w:rPr>
                <w:rFonts w:cs="Arial"/>
                <w:color w:val="2F5496" w:themeColor="accent5" w:themeShade="BF"/>
              </w:rPr>
              <w:t>(</w:t>
            </w:r>
            <w:r w:rsidR="00A91D8D">
              <w:rPr>
                <w:rFonts w:cs="Arial"/>
                <w:color w:val="2F5496" w:themeColor="accent5" w:themeShade="BF"/>
              </w:rPr>
              <w:t>London</w:t>
            </w:r>
            <w:r w:rsidRPr="00141F6B">
              <w:rPr>
                <w:rFonts w:cs="Arial"/>
                <w:color w:val="2F5496" w:themeColor="accent5" w:themeShade="BF"/>
              </w:rPr>
              <w:t xml:space="preserve"> CIV</w:t>
            </w:r>
            <w:r w:rsidR="00912756">
              <w:rPr>
                <w:rFonts w:cs="Arial"/>
                <w:color w:val="2F5496" w:themeColor="accent5" w:themeShade="BF"/>
              </w:rPr>
              <w:t>)</w:t>
            </w:r>
            <w:r w:rsidRPr="00141F6B">
              <w:rPr>
                <w:rFonts w:cs="Arial"/>
                <w:color w:val="2F5496" w:themeColor="accent5" w:themeShade="BF"/>
              </w:rPr>
              <w:t xml:space="preserve"> and</w:t>
            </w:r>
            <w:r w:rsidR="00A91D8D">
              <w:rPr>
                <w:rFonts w:cs="Arial"/>
                <w:color w:val="2F5496" w:themeColor="accent5" w:themeShade="BF"/>
              </w:rPr>
              <w:t xml:space="preserve"> the ACS Fund</w:t>
            </w:r>
            <w:r w:rsidRPr="00141F6B">
              <w:rPr>
                <w:rFonts w:cs="Arial"/>
                <w:color w:val="2F5496" w:themeColor="accent5" w:themeShade="BF"/>
              </w:rPr>
              <w:t xml:space="preserve"> and will provide an annual governance statement which will be publicly available on the website.</w:t>
            </w:r>
          </w:p>
          <w:p w:rsidR="00A91D8D" w:rsidRDefault="00A91D8D" w:rsidP="00A91D8D">
            <w:pPr>
              <w:pStyle w:val="ListParagraph"/>
              <w:numPr>
                <w:ilvl w:val="0"/>
                <w:numId w:val="8"/>
              </w:numPr>
              <w:spacing w:after="120" w:line="276" w:lineRule="auto"/>
              <w:contextualSpacing w:val="0"/>
              <w:jc w:val="both"/>
              <w:rPr>
                <w:rFonts w:cs="Arial"/>
                <w:color w:val="2F5496" w:themeColor="accent5" w:themeShade="BF"/>
              </w:rPr>
            </w:pPr>
            <w:r>
              <w:rPr>
                <w:rFonts w:cs="Arial"/>
                <w:color w:val="2F5496" w:themeColor="accent5" w:themeShade="BF"/>
              </w:rPr>
              <w:t>Depositary –</w:t>
            </w:r>
            <w:r w:rsidR="0047760E">
              <w:rPr>
                <w:rFonts w:cs="Arial"/>
                <w:color w:val="2F5496" w:themeColor="accent5" w:themeShade="BF"/>
              </w:rPr>
              <w:t xml:space="preserve"> The formal structures that the London CIV has put in place including FCA registration and the appointment of a </w:t>
            </w:r>
            <w:r>
              <w:rPr>
                <w:rFonts w:cs="Arial"/>
                <w:color w:val="2F5496" w:themeColor="accent5" w:themeShade="BF"/>
              </w:rPr>
              <w:t>Depositary</w:t>
            </w:r>
            <w:r w:rsidR="0047760E">
              <w:rPr>
                <w:rFonts w:cs="Arial"/>
                <w:color w:val="2F5496" w:themeColor="accent5" w:themeShade="BF"/>
              </w:rPr>
              <w:t xml:space="preserve"> (Northern Trust) helps to provide additional scrutiny on the CIV in providing monitoring </w:t>
            </w:r>
            <w:r>
              <w:rPr>
                <w:rFonts w:cs="Arial"/>
                <w:color w:val="2F5496" w:themeColor="accent5" w:themeShade="BF"/>
              </w:rPr>
              <w:t xml:space="preserve"> </w:t>
            </w:r>
            <w:r w:rsidR="0047760E">
              <w:rPr>
                <w:rFonts w:cs="Arial"/>
                <w:color w:val="2F5496" w:themeColor="accent5" w:themeShade="BF"/>
              </w:rPr>
              <w:t xml:space="preserve">and </w:t>
            </w:r>
            <w:r>
              <w:rPr>
                <w:rFonts w:cs="Arial"/>
                <w:color w:val="2F5496" w:themeColor="accent5" w:themeShade="BF"/>
              </w:rPr>
              <w:t>regulatory oversight of the company and a range of services including:</w:t>
            </w:r>
          </w:p>
          <w:p w:rsidR="00A91D8D" w:rsidRDefault="00A91D8D" w:rsidP="00A91D8D">
            <w:pPr>
              <w:pStyle w:val="ListParagraph"/>
              <w:numPr>
                <w:ilvl w:val="1"/>
                <w:numId w:val="44"/>
              </w:numPr>
              <w:spacing w:after="120" w:line="276" w:lineRule="auto"/>
              <w:contextualSpacing w:val="0"/>
              <w:jc w:val="both"/>
              <w:rPr>
                <w:rFonts w:cs="Arial"/>
                <w:color w:val="2F5496" w:themeColor="accent5" w:themeShade="BF"/>
              </w:rPr>
            </w:pPr>
            <w:r>
              <w:rPr>
                <w:rFonts w:cs="Arial"/>
                <w:color w:val="2F5496" w:themeColor="accent5" w:themeShade="BF"/>
              </w:rPr>
              <w:t>Safe custody of assets</w:t>
            </w:r>
          </w:p>
          <w:p w:rsidR="00A91D8D" w:rsidRDefault="00A91D8D" w:rsidP="00A91D8D">
            <w:pPr>
              <w:pStyle w:val="ListParagraph"/>
              <w:numPr>
                <w:ilvl w:val="1"/>
                <w:numId w:val="44"/>
              </w:numPr>
              <w:spacing w:after="120" w:line="276" w:lineRule="auto"/>
              <w:contextualSpacing w:val="0"/>
              <w:jc w:val="both"/>
              <w:rPr>
                <w:rFonts w:cs="Arial"/>
                <w:color w:val="2F5496" w:themeColor="accent5" w:themeShade="BF"/>
              </w:rPr>
            </w:pPr>
            <w:r>
              <w:rPr>
                <w:rFonts w:cs="Arial"/>
                <w:color w:val="2F5496" w:themeColor="accent5" w:themeShade="BF"/>
              </w:rPr>
              <w:t>Oversight of key systems and processes</w:t>
            </w:r>
          </w:p>
          <w:p w:rsidR="00A91D8D" w:rsidRPr="00A91D8D" w:rsidRDefault="00A91D8D" w:rsidP="00A91D8D">
            <w:pPr>
              <w:pStyle w:val="ListParagraph"/>
              <w:numPr>
                <w:ilvl w:val="1"/>
                <w:numId w:val="44"/>
              </w:numPr>
              <w:spacing w:after="120" w:line="276" w:lineRule="auto"/>
              <w:contextualSpacing w:val="0"/>
              <w:jc w:val="both"/>
              <w:rPr>
                <w:rFonts w:cs="Arial"/>
                <w:color w:val="2F5496" w:themeColor="accent5" w:themeShade="BF"/>
              </w:rPr>
            </w:pPr>
            <w:r w:rsidRPr="00A91D8D">
              <w:rPr>
                <w:rFonts w:cs="Arial"/>
                <w:color w:val="2F5496" w:themeColor="accent5" w:themeShade="BF"/>
              </w:rPr>
              <w:t>Due-diligence review of the Operator (London CIV), and the Custodian, Fund Accountant, and Transfer Agent (Northern Trust)</w:t>
            </w:r>
          </w:p>
        </w:tc>
      </w:tr>
    </w:tbl>
    <w:p w:rsidR="00A7164B" w:rsidRPr="00432E20" w:rsidRDefault="00A7164B" w:rsidP="00A7164B">
      <w:pPr>
        <w:spacing w:after="0" w:line="360" w:lineRule="auto"/>
        <w:rPr>
          <w:rFonts w:ascii="Calibri" w:hAnsi="Calibri" w:cs="Arial"/>
          <w:sz w:val="24"/>
          <w:szCs w:val="24"/>
        </w:rPr>
      </w:pPr>
    </w:p>
    <w:tbl>
      <w:tblPr>
        <w:tblStyle w:val="TableGrid"/>
        <w:tblW w:w="9781" w:type="dxa"/>
        <w:tblInd w:w="-5" w:type="dxa"/>
        <w:tblLook w:val="04A0" w:firstRow="1" w:lastRow="0" w:firstColumn="1" w:lastColumn="0" w:noHBand="0" w:noVBand="1"/>
      </w:tblPr>
      <w:tblGrid>
        <w:gridCol w:w="5954"/>
        <w:gridCol w:w="3827"/>
      </w:tblGrid>
      <w:tr w:rsidR="00123396" w:rsidRPr="00432E20" w:rsidTr="00412637">
        <w:tc>
          <w:tcPr>
            <w:tcW w:w="9781" w:type="dxa"/>
            <w:gridSpan w:val="2"/>
            <w:shd w:val="clear" w:color="auto" w:fill="000000" w:themeFill="text1"/>
          </w:tcPr>
          <w:p w:rsidR="008D4FF3" w:rsidRPr="00432E20" w:rsidRDefault="008D4FF3" w:rsidP="00092E30">
            <w:pPr>
              <w:pStyle w:val="ListParagraph"/>
              <w:numPr>
                <w:ilvl w:val="0"/>
                <w:numId w:val="8"/>
              </w:numPr>
              <w:spacing w:line="360" w:lineRule="auto"/>
              <w:rPr>
                <w:rFonts w:ascii="Calibri" w:hAnsi="Calibri" w:cs="Arial"/>
                <w:b/>
                <w:color w:val="FFFFFF" w:themeColor="background1"/>
                <w:sz w:val="24"/>
                <w:szCs w:val="24"/>
              </w:rPr>
            </w:pPr>
            <w:r w:rsidRPr="00432E20">
              <w:rPr>
                <w:rFonts w:ascii="Calibri" w:hAnsi="Calibri" w:cs="Arial"/>
                <w:b/>
                <w:color w:val="FFFFFF" w:themeColor="background1"/>
                <w:sz w:val="24"/>
                <w:szCs w:val="24"/>
              </w:rPr>
              <w:t>The mechanisms by which authorit</w:t>
            </w:r>
            <w:r w:rsidR="00DC03D4" w:rsidRPr="00432E20">
              <w:rPr>
                <w:rFonts w:ascii="Calibri" w:hAnsi="Calibri" w:cs="Arial"/>
                <w:b/>
                <w:color w:val="FFFFFF" w:themeColor="background1"/>
                <w:sz w:val="24"/>
                <w:szCs w:val="24"/>
              </w:rPr>
              <w:t>ies</w:t>
            </w:r>
            <w:r w:rsidRPr="00432E20">
              <w:rPr>
                <w:rFonts w:ascii="Calibri" w:hAnsi="Calibri" w:cs="Arial"/>
                <w:b/>
                <w:color w:val="FFFFFF" w:themeColor="background1"/>
                <w:sz w:val="24"/>
                <w:szCs w:val="24"/>
              </w:rPr>
              <w:t xml:space="preserve"> can hold the pool to account and secure assurance that their investment strategy is being implemented effectively and </w:t>
            </w:r>
            <w:r w:rsidR="005D5D10" w:rsidRPr="00432E20">
              <w:rPr>
                <w:rFonts w:ascii="Calibri" w:hAnsi="Calibri" w:cs="Arial"/>
                <w:b/>
                <w:color w:val="FFFFFF" w:themeColor="background1"/>
                <w:sz w:val="24"/>
                <w:szCs w:val="24"/>
              </w:rPr>
              <w:t xml:space="preserve">that </w:t>
            </w:r>
            <w:r w:rsidRPr="00432E20">
              <w:rPr>
                <w:rFonts w:ascii="Calibri" w:hAnsi="Calibri" w:cs="Arial"/>
                <w:b/>
                <w:color w:val="FFFFFF" w:themeColor="background1"/>
                <w:sz w:val="24"/>
                <w:szCs w:val="24"/>
              </w:rPr>
              <w:t>their investments are being well managed</w:t>
            </w:r>
            <w:r w:rsidR="005D5D10" w:rsidRPr="00432E20">
              <w:rPr>
                <w:rFonts w:ascii="Calibri" w:hAnsi="Calibri" w:cs="Arial"/>
                <w:b/>
                <w:color w:val="FFFFFF" w:themeColor="background1"/>
                <w:sz w:val="24"/>
                <w:szCs w:val="24"/>
              </w:rPr>
              <w:t xml:space="preserve"> in the long term interests of their members</w:t>
            </w:r>
            <w:r w:rsidRPr="00432E20">
              <w:rPr>
                <w:rFonts w:ascii="Calibri" w:hAnsi="Calibri" w:cs="Arial"/>
                <w:b/>
                <w:color w:val="FFFFFF" w:themeColor="background1"/>
                <w:sz w:val="24"/>
                <w:szCs w:val="24"/>
              </w:rPr>
              <w:t>.</w:t>
            </w:r>
          </w:p>
        </w:tc>
      </w:tr>
      <w:tr w:rsidR="008D4FF3" w:rsidRPr="00432E20" w:rsidTr="00412637">
        <w:tc>
          <w:tcPr>
            <w:tcW w:w="9781" w:type="dxa"/>
            <w:gridSpan w:val="2"/>
          </w:tcPr>
          <w:p w:rsidR="008D4FF3" w:rsidRPr="00432E20" w:rsidRDefault="008D4FF3" w:rsidP="00092E30">
            <w:pPr>
              <w:pStyle w:val="ListParagraph"/>
              <w:numPr>
                <w:ilvl w:val="0"/>
                <w:numId w:val="10"/>
              </w:numPr>
              <w:spacing w:line="360" w:lineRule="auto"/>
              <w:rPr>
                <w:rFonts w:ascii="Calibri" w:hAnsi="Calibri" w:cs="Arial"/>
                <w:sz w:val="24"/>
                <w:szCs w:val="24"/>
              </w:rPr>
            </w:pPr>
            <w:r w:rsidRPr="00432E20">
              <w:rPr>
                <w:rFonts w:ascii="Calibri" w:hAnsi="Calibri" w:cs="Arial"/>
                <w:sz w:val="24"/>
                <w:szCs w:val="24"/>
              </w:rPr>
              <w:t xml:space="preserve">Please describe briefly the type, purpose and extent of any formal agreement that is intended to be put in place </w:t>
            </w:r>
            <w:r w:rsidR="008F2EA2" w:rsidRPr="00432E20">
              <w:rPr>
                <w:rFonts w:ascii="Calibri" w:hAnsi="Calibri" w:cs="Arial"/>
                <w:sz w:val="24"/>
                <w:szCs w:val="24"/>
              </w:rPr>
              <w:t xml:space="preserve">between the </w:t>
            </w:r>
            <w:r w:rsidR="00BB0E3C" w:rsidRPr="00432E20">
              <w:rPr>
                <w:rFonts w:ascii="Calibri" w:hAnsi="Calibri" w:cs="Arial"/>
                <w:sz w:val="24"/>
                <w:szCs w:val="24"/>
              </w:rPr>
              <w:t>authorities</w:t>
            </w:r>
            <w:r w:rsidR="007B5356" w:rsidRPr="00432E20">
              <w:rPr>
                <w:rFonts w:ascii="Calibri" w:hAnsi="Calibri" w:cs="Arial"/>
                <w:sz w:val="24"/>
                <w:szCs w:val="24"/>
              </w:rPr>
              <w:t>, pool and any supervisory body</w:t>
            </w:r>
            <w:r w:rsidR="00A562A0" w:rsidRPr="00432E20">
              <w:rPr>
                <w:rFonts w:ascii="Calibri" w:hAnsi="Calibri" w:cs="Arial"/>
                <w:sz w:val="24"/>
                <w:szCs w:val="24"/>
              </w:rPr>
              <w:t>.</w:t>
            </w:r>
          </w:p>
        </w:tc>
      </w:tr>
      <w:tr w:rsidR="008D4FF3" w:rsidRPr="00432E20" w:rsidTr="00412637">
        <w:tc>
          <w:tcPr>
            <w:tcW w:w="9781" w:type="dxa"/>
            <w:gridSpan w:val="2"/>
          </w:tcPr>
          <w:p w:rsidR="0047760E" w:rsidRDefault="0047760E" w:rsidP="00092E30">
            <w:pPr>
              <w:pStyle w:val="ListParagraph"/>
              <w:numPr>
                <w:ilvl w:val="0"/>
                <w:numId w:val="32"/>
              </w:numPr>
              <w:spacing w:line="360" w:lineRule="auto"/>
              <w:rPr>
                <w:rFonts w:ascii="Calibri" w:hAnsi="Calibri" w:cs="Arial"/>
                <w:color w:val="2F5496" w:themeColor="accent5" w:themeShade="BF"/>
              </w:rPr>
            </w:pPr>
            <w:r>
              <w:rPr>
                <w:rFonts w:ascii="Calibri" w:hAnsi="Calibri" w:cs="Arial"/>
                <w:color w:val="2F5496" w:themeColor="accent5" w:themeShade="BF"/>
              </w:rPr>
              <w:t xml:space="preserve">London CIV has gone beyond ‘intention’ and has formal agreements and arrangement in place and is already in the process of pooling investments for the </w:t>
            </w:r>
            <w:r w:rsidR="009F15E9">
              <w:rPr>
                <w:rFonts w:ascii="Calibri" w:hAnsi="Calibri" w:cs="Arial"/>
                <w:color w:val="2F5496" w:themeColor="accent5" w:themeShade="BF"/>
              </w:rPr>
              <w:t>London Local Authorities</w:t>
            </w:r>
            <w:r>
              <w:rPr>
                <w:rFonts w:ascii="Calibri" w:hAnsi="Calibri" w:cs="Arial"/>
                <w:color w:val="2F5496" w:themeColor="accent5" w:themeShade="BF"/>
              </w:rPr>
              <w:t xml:space="preserve">. </w:t>
            </w:r>
          </w:p>
          <w:p w:rsidR="0047760E" w:rsidRDefault="0047760E" w:rsidP="0047760E">
            <w:pPr>
              <w:pStyle w:val="ListParagraph"/>
              <w:numPr>
                <w:ilvl w:val="0"/>
                <w:numId w:val="32"/>
              </w:numPr>
              <w:spacing w:line="360" w:lineRule="auto"/>
              <w:rPr>
                <w:rFonts w:ascii="Calibri" w:hAnsi="Calibri" w:cs="Arial"/>
                <w:color w:val="2F5496" w:themeColor="accent5" w:themeShade="BF"/>
              </w:rPr>
            </w:pPr>
            <w:r>
              <w:rPr>
                <w:rFonts w:ascii="Calibri" w:hAnsi="Calibri" w:cs="Arial"/>
                <w:color w:val="2F5496" w:themeColor="accent5" w:themeShade="BF"/>
              </w:rPr>
              <w:lastRenderedPageBreak/>
              <w:t>As already described above there are three levels of interaction between investing authorities and London CIV as the operating company; the PSJC, the IAC and regular contact through formal and informal interaction at borough level. It is embedded in the culture of London CIV that everything is being done ‘for and on behalf of’ the investing authorities and, while London CIV must ultimately take decisions independently of investors (for regulatory reasons) those decisions will be taken with appropriate levels of collaboration and the best interest of the investing authorities at heart. Formal agreements and documentation include:</w:t>
            </w:r>
          </w:p>
          <w:p w:rsidR="0047760E" w:rsidRDefault="003D3964" w:rsidP="0047760E">
            <w:pPr>
              <w:pStyle w:val="ListParagraph"/>
              <w:numPr>
                <w:ilvl w:val="0"/>
                <w:numId w:val="45"/>
              </w:numPr>
              <w:spacing w:line="360" w:lineRule="auto"/>
              <w:rPr>
                <w:rFonts w:ascii="Calibri" w:hAnsi="Calibri" w:cs="Arial"/>
                <w:color w:val="2F5496" w:themeColor="accent5" w:themeShade="BF"/>
              </w:rPr>
            </w:pPr>
            <w:r w:rsidRPr="009B39F4">
              <w:rPr>
                <w:rFonts w:ascii="Calibri" w:hAnsi="Calibri" w:cs="Arial"/>
                <w:color w:val="2F5496" w:themeColor="accent5" w:themeShade="BF"/>
              </w:rPr>
              <w:t>The Shareholders Agreement</w:t>
            </w:r>
            <w:r w:rsidR="0047760E">
              <w:rPr>
                <w:rFonts w:ascii="Calibri" w:hAnsi="Calibri" w:cs="Arial"/>
                <w:color w:val="2F5496" w:themeColor="accent5" w:themeShade="BF"/>
              </w:rPr>
              <w:t xml:space="preserve"> which</w:t>
            </w:r>
            <w:r w:rsidRPr="009B39F4">
              <w:rPr>
                <w:rFonts w:ascii="Calibri" w:hAnsi="Calibri" w:cs="Arial"/>
                <w:color w:val="2F5496" w:themeColor="accent5" w:themeShade="BF"/>
              </w:rPr>
              <w:t xml:space="preserve"> </w:t>
            </w:r>
            <w:r>
              <w:rPr>
                <w:rFonts w:ascii="Calibri" w:hAnsi="Calibri" w:cs="Arial"/>
                <w:color w:val="2F5496" w:themeColor="accent5" w:themeShade="BF"/>
              </w:rPr>
              <w:t>sets out the terms and conditions of the joint venture and regulates their relationship with each other and certain aspects of the affairs of and dealings with the Company. The Company has agreed with the Shareholders that it will comply with the terms and conditions of the Agreement insofar as it relates to the company and provided it is legal to do so.  (See annex)</w:t>
            </w:r>
          </w:p>
          <w:p w:rsidR="0047760E" w:rsidRDefault="0047760E" w:rsidP="0047760E">
            <w:pPr>
              <w:pStyle w:val="ListParagraph"/>
              <w:numPr>
                <w:ilvl w:val="0"/>
                <w:numId w:val="45"/>
              </w:numPr>
              <w:spacing w:line="360" w:lineRule="auto"/>
              <w:rPr>
                <w:rFonts w:ascii="Calibri" w:hAnsi="Calibri" w:cs="Arial"/>
                <w:color w:val="2F5496" w:themeColor="accent5" w:themeShade="BF"/>
              </w:rPr>
            </w:pPr>
            <w:r>
              <w:rPr>
                <w:rFonts w:ascii="Calibri" w:hAnsi="Calibri" w:cs="Arial"/>
                <w:color w:val="2F5496" w:themeColor="accent5" w:themeShade="BF"/>
              </w:rPr>
              <w:t>The PSJC is established under London Councils’ governance arrangements and London Councils Governing Agreement is included as an annex for information.</w:t>
            </w:r>
          </w:p>
          <w:p w:rsidR="003D3964" w:rsidRPr="0047760E" w:rsidRDefault="003D3964" w:rsidP="0047760E">
            <w:pPr>
              <w:pStyle w:val="ListParagraph"/>
              <w:numPr>
                <w:ilvl w:val="0"/>
                <w:numId w:val="45"/>
              </w:numPr>
              <w:spacing w:line="360" w:lineRule="auto"/>
              <w:rPr>
                <w:rFonts w:ascii="Calibri" w:hAnsi="Calibri" w:cs="Arial"/>
                <w:color w:val="2F5496" w:themeColor="accent5" w:themeShade="BF"/>
              </w:rPr>
            </w:pPr>
            <w:r w:rsidRPr="0047760E">
              <w:rPr>
                <w:rFonts w:ascii="Calibri" w:hAnsi="Calibri" w:cs="Arial"/>
                <w:color w:val="2F5496" w:themeColor="accent5" w:themeShade="BF"/>
              </w:rPr>
              <w:t xml:space="preserve">The </w:t>
            </w:r>
            <w:r w:rsidR="0047760E" w:rsidRPr="0047760E">
              <w:rPr>
                <w:rFonts w:ascii="Calibri" w:hAnsi="Calibri" w:cs="Arial"/>
                <w:color w:val="2F5496" w:themeColor="accent5" w:themeShade="BF"/>
              </w:rPr>
              <w:t>PSJC has specific Terms of R</w:t>
            </w:r>
            <w:r w:rsidRPr="0047760E">
              <w:rPr>
                <w:rFonts w:ascii="Calibri" w:hAnsi="Calibri" w:cs="Arial"/>
                <w:color w:val="2F5496" w:themeColor="accent5" w:themeShade="BF"/>
              </w:rPr>
              <w:t xml:space="preserve">eference </w:t>
            </w:r>
            <w:r w:rsidR="0047760E" w:rsidRPr="0047760E">
              <w:rPr>
                <w:rFonts w:ascii="Calibri" w:hAnsi="Calibri" w:cs="Arial"/>
                <w:color w:val="2F5496" w:themeColor="accent5" w:themeShade="BF"/>
              </w:rPr>
              <w:t xml:space="preserve">which </w:t>
            </w:r>
            <w:r w:rsidRPr="0047760E">
              <w:rPr>
                <w:rFonts w:ascii="Calibri" w:hAnsi="Calibri" w:cs="Arial"/>
                <w:color w:val="2F5496" w:themeColor="accent5" w:themeShade="BF"/>
              </w:rPr>
              <w:t>include the following:</w:t>
            </w:r>
          </w:p>
          <w:p w:rsidR="003D3964" w:rsidRPr="009B39F4" w:rsidRDefault="003D3964" w:rsidP="0047760E">
            <w:pPr>
              <w:spacing w:line="360" w:lineRule="auto"/>
              <w:ind w:left="2160"/>
              <w:rPr>
                <w:rFonts w:cs="Arial"/>
                <w:i/>
                <w:color w:val="2F5496" w:themeColor="accent5" w:themeShade="BF"/>
              </w:rPr>
            </w:pPr>
            <w:r w:rsidRPr="009B39F4">
              <w:rPr>
                <w:rFonts w:cs="Arial"/>
                <w:i/>
                <w:color w:val="2F5496" w:themeColor="accent5" w:themeShade="BF"/>
              </w:rPr>
              <w:t xml:space="preserve">“….to receive and consider reports and information from the ACS Operator particularly performance information and to provide comment and guidance in response (in so far as required and permitted by Companies Act 2006 requirements and FCA regulations).  </w:t>
            </w:r>
          </w:p>
          <w:p w:rsidR="003D3964" w:rsidRPr="009B39F4" w:rsidRDefault="003D3964" w:rsidP="0047760E">
            <w:pPr>
              <w:tabs>
                <w:tab w:val="num" w:pos="1843"/>
              </w:tabs>
              <w:spacing w:line="360" w:lineRule="auto"/>
              <w:ind w:left="2160"/>
              <w:rPr>
                <w:rFonts w:cs="Arial"/>
                <w:i/>
                <w:color w:val="2F5496" w:themeColor="accent5" w:themeShade="BF"/>
              </w:rPr>
            </w:pPr>
            <w:r w:rsidRPr="009B39F4">
              <w:rPr>
                <w:rFonts w:cs="Arial"/>
                <w:i/>
                <w:color w:val="2F5496" w:themeColor="accent5" w:themeShade="BF"/>
              </w:rPr>
              <w:t>In addition, members of the Pensions CIV Joint Committee will meet at least once each year at an Annual General Meeting</w:t>
            </w:r>
            <w:r w:rsidRPr="009B39F4" w:rsidDel="001E1247">
              <w:rPr>
                <w:rFonts w:cs="Arial"/>
                <w:i/>
                <w:color w:val="2F5496" w:themeColor="accent5" w:themeShade="BF"/>
              </w:rPr>
              <w:t xml:space="preserve"> </w:t>
            </w:r>
            <w:r w:rsidRPr="009B39F4">
              <w:rPr>
                <w:rFonts w:cs="Arial"/>
                <w:i/>
                <w:color w:val="2F5496" w:themeColor="accent5" w:themeShade="BF"/>
              </w:rPr>
              <w:t>of the ACS Operator to take decisions on behalf of the participating London local authorities in their capacity as shareholders exercising the shareholder rights in relation to the Pensions CIV Authorised Contractual Scheme operator (as provided in the Companies Act 2006 and the Articles of Association of the ACS Operator company) and to communicate these decisions to the Board of the ACS Operator company.  These  include:</w:t>
            </w:r>
          </w:p>
          <w:p w:rsidR="003D3964" w:rsidRPr="009B39F4" w:rsidRDefault="003D3964" w:rsidP="0047760E">
            <w:pPr>
              <w:tabs>
                <w:tab w:val="num" w:pos="3119"/>
              </w:tabs>
              <w:spacing w:line="360" w:lineRule="auto"/>
              <w:ind w:left="2160"/>
              <w:rPr>
                <w:rFonts w:cs="Arial"/>
                <w:i/>
                <w:color w:val="2F5496" w:themeColor="accent5" w:themeShade="BF"/>
              </w:rPr>
            </w:pPr>
            <w:r w:rsidRPr="009B39F4">
              <w:rPr>
                <w:rFonts w:cs="Arial"/>
                <w:i/>
                <w:color w:val="2F5496" w:themeColor="accent5" w:themeShade="BF"/>
              </w:rPr>
              <w:t>the appointment of directors to the ACS Operator board of directors;</w:t>
            </w:r>
          </w:p>
          <w:p w:rsidR="003D3964" w:rsidRPr="009B39F4" w:rsidRDefault="003D3964" w:rsidP="0047760E">
            <w:pPr>
              <w:tabs>
                <w:tab w:val="num" w:pos="3119"/>
              </w:tabs>
              <w:spacing w:line="360" w:lineRule="auto"/>
              <w:ind w:left="2160"/>
              <w:rPr>
                <w:rFonts w:cs="Arial"/>
                <w:i/>
                <w:color w:val="2F5496" w:themeColor="accent5" w:themeShade="BF"/>
              </w:rPr>
            </w:pPr>
            <w:r w:rsidRPr="009B39F4">
              <w:rPr>
                <w:rFonts w:cs="Arial"/>
                <w:i/>
                <w:color w:val="2F5496" w:themeColor="accent5" w:themeShade="BF"/>
              </w:rPr>
              <w:t>the appointment and removal of auditors of the company;</w:t>
            </w:r>
          </w:p>
          <w:p w:rsidR="003D3964" w:rsidRPr="009B39F4" w:rsidRDefault="003D3964" w:rsidP="0047760E">
            <w:pPr>
              <w:tabs>
                <w:tab w:val="num" w:pos="3119"/>
              </w:tabs>
              <w:spacing w:line="360" w:lineRule="auto"/>
              <w:ind w:left="2160"/>
              <w:rPr>
                <w:rFonts w:ascii="Calibri" w:hAnsi="Calibri" w:cs="Arial"/>
                <w:i/>
                <w:color w:val="2F5496" w:themeColor="accent5" w:themeShade="BF"/>
              </w:rPr>
            </w:pPr>
            <w:r w:rsidRPr="009B39F4">
              <w:rPr>
                <w:rFonts w:ascii="Calibri" w:hAnsi="Calibri" w:cs="Arial"/>
                <w:i/>
                <w:color w:val="2F5496" w:themeColor="accent5" w:themeShade="BF"/>
              </w:rPr>
              <w:t>agreeing the Articles of Association of the company and consenting to any amendments to these;</w:t>
            </w:r>
          </w:p>
          <w:p w:rsidR="003D3964" w:rsidRPr="009B39F4" w:rsidRDefault="003D3964" w:rsidP="0047760E">
            <w:pPr>
              <w:tabs>
                <w:tab w:val="num" w:pos="3119"/>
              </w:tabs>
              <w:spacing w:line="360" w:lineRule="auto"/>
              <w:ind w:left="2160"/>
              <w:rPr>
                <w:rFonts w:ascii="Calibri" w:hAnsi="Calibri" w:cs="Arial"/>
                <w:i/>
                <w:color w:val="2F5496" w:themeColor="accent5" w:themeShade="BF"/>
              </w:rPr>
            </w:pPr>
            <w:r w:rsidRPr="009B39F4">
              <w:rPr>
                <w:rFonts w:ascii="Calibri" w:hAnsi="Calibri" w:cs="Arial"/>
                <w:i/>
                <w:color w:val="2F5496" w:themeColor="accent5" w:themeShade="BF"/>
              </w:rPr>
              <w:t xml:space="preserve">receiving the Accounts and Annual Report of the company; </w:t>
            </w:r>
          </w:p>
          <w:p w:rsidR="003D3964" w:rsidRDefault="003D3964" w:rsidP="0047760E">
            <w:pPr>
              <w:spacing w:line="360" w:lineRule="auto"/>
              <w:ind w:left="2160"/>
              <w:rPr>
                <w:rFonts w:ascii="Calibri" w:hAnsi="Calibri" w:cs="Arial"/>
                <w:i/>
                <w:color w:val="2F5496" w:themeColor="accent5" w:themeShade="BF"/>
              </w:rPr>
            </w:pPr>
            <w:r w:rsidRPr="009B39F4">
              <w:rPr>
                <w:rFonts w:ascii="Calibri" w:hAnsi="Calibri" w:cs="Arial"/>
                <w:i/>
                <w:color w:val="2F5496" w:themeColor="accent5" w:themeShade="BF"/>
              </w:rPr>
              <w:t>exercising rights to require the directors of the ACS Operator company to call a general meeting of the company;</w:t>
            </w:r>
            <w:r>
              <w:rPr>
                <w:rFonts w:ascii="Calibri" w:hAnsi="Calibri" w:cs="Arial"/>
                <w:i/>
                <w:color w:val="2F5496" w:themeColor="accent5" w:themeShade="BF"/>
              </w:rPr>
              <w:t>”</w:t>
            </w:r>
          </w:p>
          <w:p w:rsidR="00FB4598" w:rsidRPr="00613CED" w:rsidRDefault="003D3964" w:rsidP="00FB4598">
            <w:pPr>
              <w:pStyle w:val="ListParagraph"/>
              <w:numPr>
                <w:ilvl w:val="0"/>
                <w:numId w:val="33"/>
              </w:numPr>
              <w:spacing w:line="360" w:lineRule="auto"/>
              <w:ind w:left="2160" w:hanging="425"/>
              <w:rPr>
                <w:rFonts w:ascii="Calibri" w:hAnsi="Calibri" w:cs="Arial"/>
                <w:color w:val="2F5496" w:themeColor="accent5" w:themeShade="BF"/>
              </w:rPr>
            </w:pPr>
            <w:r>
              <w:rPr>
                <w:rFonts w:ascii="Calibri" w:hAnsi="Calibri" w:cs="Arial"/>
                <w:color w:val="2F5496" w:themeColor="accent5" w:themeShade="BF"/>
              </w:rPr>
              <w:lastRenderedPageBreak/>
              <w:t>As an FCA authorised contractual scheme, the CIV is required to publish a prospectus which details how the CIV will operate including the valuation, pricing and administration of the Scheme.</w:t>
            </w:r>
          </w:p>
          <w:p w:rsidR="008D4FF3" w:rsidRPr="00FB4598" w:rsidRDefault="003D3964" w:rsidP="00FB4598">
            <w:pPr>
              <w:pStyle w:val="ListParagraph"/>
              <w:numPr>
                <w:ilvl w:val="0"/>
                <w:numId w:val="33"/>
              </w:numPr>
              <w:spacing w:line="360" w:lineRule="auto"/>
              <w:ind w:left="2160" w:hanging="425"/>
              <w:rPr>
                <w:rFonts w:ascii="Calibri" w:hAnsi="Calibri" w:cs="Arial"/>
                <w:i/>
                <w:color w:val="2F5496" w:themeColor="accent5" w:themeShade="BF"/>
              </w:rPr>
            </w:pPr>
            <w:r w:rsidRPr="00FB4598">
              <w:rPr>
                <w:rFonts w:ascii="Calibri" w:hAnsi="Calibri" w:cs="Arial"/>
                <w:color w:val="2F5496" w:themeColor="accent5" w:themeShade="BF"/>
              </w:rPr>
              <w:t xml:space="preserve">A service level agreement is also currently being drafted which will set out in more detail agreed  service levels  between the CIV and the </w:t>
            </w:r>
            <w:r w:rsidR="009F15E9">
              <w:rPr>
                <w:rFonts w:ascii="Calibri" w:hAnsi="Calibri" w:cs="Arial"/>
                <w:color w:val="2F5496" w:themeColor="accent5" w:themeShade="BF"/>
              </w:rPr>
              <w:t>Authorities</w:t>
            </w:r>
            <w:r w:rsidRPr="00FB4598">
              <w:rPr>
                <w:rFonts w:ascii="Calibri" w:hAnsi="Calibri" w:cs="Arial"/>
                <w:color w:val="2F5496" w:themeColor="accent5" w:themeShade="BF"/>
              </w:rPr>
              <w:t xml:space="preserve"> which will help to further enable the CIV to be held to account for ensuring that borough investment strategies are being implemented and the timescales</w:t>
            </w:r>
            <w:r w:rsidRPr="00FB4598">
              <w:rPr>
                <w:rFonts w:ascii="Calibri" w:hAnsi="Calibri" w:cs="Arial"/>
                <w:color w:val="4472C4" w:themeColor="accent5"/>
              </w:rPr>
              <w:t xml:space="preserve">. </w:t>
            </w:r>
          </w:p>
        </w:tc>
      </w:tr>
      <w:tr w:rsidR="008D4FF3" w:rsidRPr="00432E20" w:rsidTr="00237ACD">
        <w:trPr>
          <w:trHeight w:val="902"/>
        </w:trPr>
        <w:tc>
          <w:tcPr>
            <w:tcW w:w="5954" w:type="dxa"/>
          </w:tcPr>
          <w:p w:rsidR="008D4FF3" w:rsidRPr="00432E20" w:rsidRDefault="008D4FF3" w:rsidP="00092E30">
            <w:pPr>
              <w:pStyle w:val="ListParagraph"/>
              <w:numPr>
                <w:ilvl w:val="0"/>
                <w:numId w:val="10"/>
              </w:numPr>
              <w:spacing w:line="360" w:lineRule="auto"/>
              <w:rPr>
                <w:rFonts w:ascii="Calibri" w:hAnsi="Calibri" w:cs="Arial"/>
                <w:sz w:val="24"/>
                <w:szCs w:val="24"/>
              </w:rPr>
            </w:pPr>
            <w:r w:rsidRPr="00432E20">
              <w:rPr>
                <w:rFonts w:ascii="Calibri" w:hAnsi="Calibri" w:cs="Arial"/>
                <w:sz w:val="24"/>
                <w:szCs w:val="24"/>
              </w:rPr>
              <w:lastRenderedPageBreak/>
              <w:t xml:space="preserve">If available please include a draft of the agreement </w:t>
            </w:r>
            <w:r w:rsidR="008F2EA2" w:rsidRPr="00432E20">
              <w:rPr>
                <w:rFonts w:ascii="Calibri" w:hAnsi="Calibri" w:cs="Arial"/>
                <w:sz w:val="24"/>
                <w:szCs w:val="24"/>
              </w:rPr>
              <w:t xml:space="preserve">between </w:t>
            </w:r>
            <w:r w:rsidR="007B5356" w:rsidRPr="00432E20">
              <w:rPr>
                <w:rFonts w:ascii="Calibri" w:hAnsi="Calibri" w:cs="Arial"/>
                <w:sz w:val="24"/>
                <w:szCs w:val="24"/>
              </w:rPr>
              <w:t>any</w:t>
            </w:r>
            <w:r w:rsidR="008F2EA2" w:rsidRPr="00432E20">
              <w:rPr>
                <w:rFonts w:ascii="Calibri" w:hAnsi="Calibri" w:cs="Arial"/>
                <w:sz w:val="24"/>
                <w:szCs w:val="24"/>
              </w:rPr>
              <w:t xml:space="preserve"> supervisor</w:t>
            </w:r>
            <w:r w:rsidR="007B5356" w:rsidRPr="00432E20">
              <w:rPr>
                <w:rFonts w:ascii="Calibri" w:hAnsi="Calibri" w:cs="Arial"/>
                <w:sz w:val="24"/>
                <w:szCs w:val="24"/>
              </w:rPr>
              <w:t>y body</w:t>
            </w:r>
            <w:r w:rsidR="008F2EA2" w:rsidRPr="00432E20">
              <w:rPr>
                <w:rFonts w:ascii="Calibri" w:hAnsi="Calibri" w:cs="Arial"/>
                <w:sz w:val="24"/>
                <w:szCs w:val="24"/>
              </w:rPr>
              <w:t xml:space="preserve"> and the </w:t>
            </w:r>
            <w:r w:rsidR="00172B45" w:rsidRPr="00432E20">
              <w:rPr>
                <w:rFonts w:ascii="Calibri" w:hAnsi="Calibri" w:cs="Arial"/>
                <w:sz w:val="24"/>
                <w:szCs w:val="24"/>
              </w:rPr>
              <w:t>pool</w:t>
            </w:r>
            <w:r w:rsidR="008F2EA2" w:rsidRPr="00432E20">
              <w:rPr>
                <w:rFonts w:ascii="Calibri" w:hAnsi="Calibri" w:cs="Arial"/>
                <w:sz w:val="24"/>
                <w:szCs w:val="24"/>
              </w:rPr>
              <w:t xml:space="preserve"> </w:t>
            </w:r>
            <w:r w:rsidR="001E51D9" w:rsidRPr="00432E20">
              <w:rPr>
                <w:rFonts w:ascii="Calibri" w:hAnsi="Calibri" w:cs="Arial"/>
                <w:sz w:val="24"/>
                <w:szCs w:val="24"/>
              </w:rPr>
              <w:t>as an ANNEX</w:t>
            </w:r>
            <w:r w:rsidR="00A562A0" w:rsidRPr="00432E20">
              <w:rPr>
                <w:rFonts w:ascii="Calibri" w:hAnsi="Calibri" w:cs="Arial"/>
                <w:sz w:val="24"/>
                <w:szCs w:val="24"/>
              </w:rPr>
              <w:t>.</w:t>
            </w:r>
          </w:p>
        </w:tc>
        <w:tc>
          <w:tcPr>
            <w:tcW w:w="3827" w:type="dxa"/>
          </w:tcPr>
          <w:p w:rsidR="008D4FF3" w:rsidRDefault="008D4FF3" w:rsidP="00C528D7">
            <w:pPr>
              <w:spacing w:line="360" w:lineRule="auto"/>
              <w:rPr>
                <w:rFonts w:ascii="Calibri" w:hAnsi="Calibri" w:cs="Arial"/>
                <w:sz w:val="24"/>
                <w:szCs w:val="24"/>
              </w:rPr>
            </w:pPr>
            <w:r w:rsidRPr="00432E20">
              <w:rPr>
                <w:rFonts w:ascii="Calibri" w:hAnsi="Calibri" w:cs="Arial"/>
                <w:sz w:val="24"/>
                <w:szCs w:val="24"/>
              </w:rPr>
              <w:t>Attached as ANNEX number</w:t>
            </w:r>
          </w:p>
          <w:p w:rsidR="003D3964" w:rsidRDefault="003D3964" w:rsidP="00092E30">
            <w:pPr>
              <w:pStyle w:val="ListParagraph"/>
              <w:numPr>
                <w:ilvl w:val="0"/>
                <w:numId w:val="34"/>
              </w:numPr>
              <w:spacing w:line="360" w:lineRule="auto"/>
              <w:rPr>
                <w:rFonts w:ascii="Calibri" w:hAnsi="Calibri" w:cs="Arial"/>
                <w:color w:val="2F5496" w:themeColor="accent5" w:themeShade="BF"/>
                <w:sz w:val="24"/>
                <w:szCs w:val="24"/>
              </w:rPr>
            </w:pPr>
            <w:r w:rsidRPr="009B39F4">
              <w:rPr>
                <w:rFonts w:ascii="Calibri" w:hAnsi="Calibri" w:cs="Arial"/>
                <w:color w:val="2F5496" w:themeColor="accent5" w:themeShade="BF"/>
                <w:sz w:val="24"/>
                <w:szCs w:val="24"/>
              </w:rPr>
              <w:t>Shareholders Agreement</w:t>
            </w:r>
          </w:p>
          <w:p w:rsidR="00FB4598" w:rsidRDefault="00FB4598" w:rsidP="00092E30">
            <w:pPr>
              <w:pStyle w:val="ListParagraph"/>
              <w:numPr>
                <w:ilvl w:val="0"/>
                <w:numId w:val="34"/>
              </w:numPr>
              <w:spacing w:line="360" w:lineRule="auto"/>
              <w:rPr>
                <w:rFonts w:ascii="Calibri" w:hAnsi="Calibri" w:cs="Arial"/>
                <w:color w:val="2F5496" w:themeColor="accent5" w:themeShade="BF"/>
                <w:sz w:val="24"/>
                <w:szCs w:val="24"/>
              </w:rPr>
            </w:pPr>
            <w:r>
              <w:rPr>
                <w:rFonts w:ascii="Calibri" w:hAnsi="Calibri" w:cs="Arial"/>
                <w:color w:val="2F5496" w:themeColor="accent5" w:themeShade="BF"/>
                <w:sz w:val="24"/>
                <w:szCs w:val="24"/>
              </w:rPr>
              <w:t>Articles of Association</w:t>
            </w:r>
          </w:p>
          <w:p w:rsidR="00FB4598" w:rsidRPr="009B39F4" w:rsidRDefault="00FB4598" w:rsidP="00092E30">
            <w:pPr>
              <w:pStyle w:val="ListParagraph"/>
              <w:numPr>
                <w:ilvl w:val="0"/>
                <w:numId w:val="34"/>
              </w:numPr>
              <w:spacing w:line="360" w:lineRule="auto"/>
              <w:rPr>
                <w:rFonts w:ascii="Calibri" w:hAnsi="Calibri" w:cs="Arial"/>
                <w:color w:val="2F5496" w:themeColor="accent5" w:themeShade="BF"/>
                <w:sz w:val="24"/>
                <w:szCs w:val="24"/>
              </w:rPr>
            </w:pPr>
            <w:r>
              <w:rPr>
                <w:rFonts w:ascii="Calibri" w:hAnsi="Calibri" w:cs="Arial"/>
                <w:color w:val="2F5496" w:themeColor="accent5" w:themeShade="BF"/>
                <w:sz w:val="24"/>
                <w:szCs w:val="24"/>
              </w:rPr>
              <w:t>London Councils Governing Agreement</w:t>
            </w:r>
          </w:p>
          <w:p w:rsidR="003D3964" w:rsidRDefault="003D3964" w:rsidP="00092E30">
            <w:pPr>
              <w:pStyle w:val="ListParagraph"/>
              <w:numPr>
                <w:ilvl w:val="0"/>
                <w:numId w:val="34"/>
              </w:numPr>
              <w:spacing w:line="360" w:lineRule="auto"/>
              <w:rPr>
                <w:rFonts w:ascii="Calibri" w:hAnsi="Calibri" w:cs="Arial"/>
                <w:color w:val="2F5496" w:themeColor="accent5" w:themeShade="BF"/>
                <w:sz w:val="24"/>
                <w:szCs w:val="24"/>
              </w:rPr>
            </w:pPr>
            <w:r w:rsidRPr="009B39F4">
              <w:rPr>
                <w:rFonts w:ascii="Calibri" w:hAnsi="Calibri" w:cs="Arial"/>
                <w:color w:val="2F5496" w:themeColor="accent5" w:themeShade="BF"/>
                <w:sz w:val="24"/>
                <w:szCs w:val="24"/>
              </w:rPr>
              <w:t xml:space="preserve">Terms of reference – PSJC </w:t>
            </w:r>
          </w:p>
          <w:p w:rsidR="003D3964" w:rsidRPr="009B39F4" w:rsidRDefault="003D3964" w:rsidP="00092E30">
            <w:pPr>
              <w:pStyle w:val="ListParagraph"/>
              <w:numPr>
                <w:ilvl w:val="0"/>
                <w:numId w:val="34"/>
              </w:numPr>
              <w:spacing w:line="360" w:lineRule="auto"/>
              <w:rPr>
                <w:rFonts w:ascii="Calibri" w:hAnsi="Calibri" w:cs="Arial"/>
                <w:color w:val="2F5496" w:themeColor="accent5" w:themeShade="BF"/>
                <w:sz w:val="24"/>
                <w:szCs w:val="24"/>
              </w:rPr>
            </w:pPr>
            <w:r>
              <w:rPr>
                <w:rFonts w:ascii="Calibri" w:hAnsi="Calibri" w:cs="Arial"/>
                <w:color w:val="2F5496" w:themeColor="accent5" w:themeShade="BF"/>
                <w:sz w:val="24"/>
                <w:szCs w:val="24"/>
              </w:rPr>
              <w:t>Prospectus of London LGPS CIV ACS</w:t>
            </w:r>
          </w:p>
          <w:p w:rsidR="003D3964" w:rsidRPr="00432E20" w:rsidRDefault="003D3964" w:rsidP="00FB468B">
            <w:pPr>
              <w:pStyle w:val="ListParagraph"/>
              <w:spacing w:line="360" w:lineRule="auto"/>
              <w:rPr>
                <w:rFonts w:ascii="Calibri" w:hAnsi="Calibri" w:cs="Arial"/>
                <w:sz w:val="24"/>
                <w:szCs w:val="24"/>
              </w:rPr>
            </w:pPr>
          </w:p>
        </w:tc>
      </w:tr>
      <w:tr w:rsidR="008D4FF3" w:rsidRPr="00432E20" w:rsidTr="00412637">
        <w:tc>
          <w:tcPr>
            <w:tcW w:w="9781" w:type="dxa"/>
            <w:gridSpan w:val="2"/>
          </w:tcPr>
          <w:p w:rsidR="008D4FF3" w:rsidRPr="00432E20" w:rsidRDefault="008D4FF3" w:rsidP="00092E30">
            <w:pPr>
              <w:pStyle w:val="ListParagraph"/>
              <w:numPr>
                <w:ilvl w:val="0"/>
                <w:numId w:val="10"/>
              </w:numPr>
              <w:spacing w:line="360" w:lineRule="auto"/>
              <w:rPr>
                <w:rFonts w:ascii="Calibri" w:hAnsi="Calibri" w:cs="Arial"/>
                <w:sz w:val="24"/>
                <w:szCs w:val="24"/>
              </w:rPr>
            </w:pPr>
            <w:r w:rsidRPr="00432E20">
              <w:rPr>
                <w:rFonts w:ascii="Calibri" w:hAnsi="Calibri" w:cs="Arial"/>
                <w:sz w:val="24"/>
                <w:szCs w:val="24"/>
              </w:rPr>
              <w:t xml:space="preserve">Please describe briefly how that agreement will ensure that the </w:t>
            </w:r>
            <w:r w:rsidR="008F2EA2" w:rsidRPr="00432E20">
              <w:rPr>
                <w:rFonts w:ascii="Calibri" w:hAnsi="Calibri" w:cs="Arial"/>
                <w:sz w:val="24"/>
                <w:szCs w:val="24"/>
              </w:rPr>
              <w:t>supervisor</w:t>
            </w:r>
            <w:r w:rsidR="00613E72" w:rsidRPr="00432E20">
              <w:rPr>
                <w:rFonts w:ascii="Calibri" w:hAnsi="Calibri" w:cs="Arial"/>
                <w:sz w:val="24"/>
                <w:szCs w:val="24"/>
              </w:rPr>
              <w:t>y</w:t>
            </w:r>
            <w:r w:rsidR="008F2EA2" w:rsidRPr="00432E20">
              <w:rPr>
                <w:rFonts w:ascii="Calibri" w:hAnsi="Calibri" w:cs="Arial"/>
                <w:sz w:val="24"/>
                <w:szCs w:val="24"/>
              </w:rPr>
              <w:t xml:space="preserve"> </w:t>
            </w:r>
            <w:r w:rsidR="007B5356" w:rsidRPr="00432E20">
              <w:rPr>
                <w:rFonts w:ascii="Calibri" w:hAnsi="Calibri" w:cs="Arial"/>
                <w:sz w:val="24"/>
                <w:szCs w:val="24"/>
              </w:rPr>
              <w:t xml:space="preserve">body </w:t>
            </w:r>
            <w:r w:rsidR="008F2EA2" w:rsidRPr="00432E20">
              <w:rPr>
                <w:rFonts w:ascii="Calibri" w:hAnsi="Calibri" w:cs="Arial"/>
                <w:sz w:val="24"/>
                <w:szCs w:val="24"/>
              </w:rPr>
              <w:t xml:space="preserve">can hold the </w:t>
            </w:r>
            <w:r w:rsidR="007B5356" w:rsidRPr="00432E20">
              <w:rPr>
                <w:rFonts w:ascii="Calibri" w:hAnsi="Calibri" w:cs="Arial"/>
                <w:sz w:val="24"/>
                <w:szCs w:val="24"/>
              </w:rPr>
              <w:t>pool</w:t>
            </w:r>
            <w:r w:rsidR="008F2EA2" w:rsidRPr="00432E20">
              <w:rPr>
                <w:rFonts w:ascii="Calibri" w:hAnsi="Calibri" w:cs="Arial"/>
                <w:sz w:val="24"/>
                <w:szCs w:val="24"/>
              </w:rPr>
              <w:t xml:space="preserve"> </w:t>
            </w:r>
            <w:r w:rsidRPr="00432E20">
              <w:rPr>
                <w:rFonts w:ascii="Calibri" w:hAnsi="Calibri" w:cs="Arial"/>
                <w:sz w:val="24"/>
                <w:szCs w:val="24"/>
              </w:rPr>
              <w:t xml:space="preserve">to account and in particular the provisions for reporting back to </w:t>
            </w:r>
            <w:r w:rsidR="00BB0E3C" w:rsidRPr="00432E20">
              <w:rPr>
                <w:rFonts w:ascii="Calibri" w:hAnsi="Calibri" w:cs="Arial"/>
                <w:sz w:val="24"/>
                <w:szCs w:val="24"/>
              </w:rPr>
              <w:t xml:space="preserve">authorities </w:t>
            </w:r>
            <w:r w:rsidRPr="00432E20">
              <w:rPr>
                <w:rFonts w:ascii="Calibri" w:hAnsi="Calibri" w:cs="Arial"/>
                <w:sz w:val="24"/>
                <w:szCs w:val="24"/>
              </w:rPr>
              <w:t>on the implementation and performance of their investment strategy</w:t>
            </w:r>
            <w:r w:rsidR="00A562A0" w:rsidRPr="00432E20">
              <w:rPr>
                <w:rFonts w:ascii="Calibri" w:hAnsi="Calibri" w:cs="Arial"/>
                <w:sz w:val="24"/>
                <w:szCs w:val="24"/>
              </w:rPr>
              <w:t>.</w:t>
            </w:r>
          </w:p>
        </w:tc>
      </w:tr>
      <w:tr w:rsidR="008D4FF3" w:rsidRPr="00432E20" w:rsidTr="00412637">
        <w:tc>
          <w:tcPr>
            <w:tcW w:w="9781" w:type="dxa"/>
            <w:gridSpan w:val="2"/>
          </w:tcPr>
          <w:p w:rsidR="003D3964" w:rsidRPr="0060001E" w:rsidRDefault="003D3964" w:rsidP="00092E30">
            <w:pPr>
              <w:pStyle w:val="ListParagraph"/>
              <w:numPr>
                <w:ilvl w:val="0"/>
                <w:numId w:val="33"/>
              </w:numPr>
              <w:spacing w:line="360" w:lineRule="auto"/>
              <w:rPr>
                <w:rFonts w:ascii="Calibri" w:hAnsi="Calibri" w:cs="Arial"/>
                <w:color w:val="2F5496" w:themeColor="accent5" w:themeShade="BF"/>
                <w:sz w:val="24"/>
                <w:szCs w:val="24"/>
              </w:rPr>
            </w:pPr>
            <w:r w:rsidRPr="0060001E">
              <w:rPr>
                <w:rFonts w:ascii="Calibri" w:hAnsi="Calibri" w:cs="Arial"/>
                <w:color w:val="2F5496" w:themeColor="accent5" w:themeShade="BF"/>
                <w:sz w:val="24"/>
                <w:szCs w:val="24"/>
              </w:rPr>
              <w:t>See comments above and relevant Annexes</w:t>
            </w:r>
          </w:p>
          <w:p w:rsidR="008D4FF3" w:rsidRPr="00432E20" w:rsidRDefault="008D4FF3" w:rsidP="008D4FF3">
            <w:pPr>
              <w:spacing w:line="360" w:lineRule="auto"/>
              <w:ind w:left="727"/>
              <w:rPr>
                <w:rFonts w:ascii="Calibri" w:hAnsi="Calibri" w:cs="Arial"/>
                <w:sz w:val="24"/>
                <w:szCs w:val="24"/>
              </w:rPr>
            </w:pPr>
          </w:p>
        </w:tc>
      </w:tr>
    </w:tbl>
    <w:p w:rsidR="00A7164B" w:rsidRPr="00432E20" w:rsidRDefault="00A7164B" w:rsidP="00A7164B">
      <w:pPr>
        <w:spacing w:after="0" w:line="360" w:lineRule="auto"/>
        <w:rPr>
          <w:rFonts w:ascii="Calibri" w:hAnsi="Calibri" w:cs="Arial"/>
          <w:sz w:val="24"/>
          <w:szCs w:val="24"/>
        </w:rPr>
      </w:pPr>
    </w:p>
    <w:tbl>
      <w:tblPr>
        <w:tblStyle w:val="TableGrid"/>
        <w:tblW w:w="0" w:type="auto"/>
        <w:tblInd w:w="-5" w:type="dxa"/>
        <w:tblLook w:val="04A0" w:firstRow="1" w:lastRow="0" w:firstColumn="1" w:lastColumn="0" w:noHBand="0" w:noVBand="1"/>
      </w:tblPr>
      <w:tblGrid>
        <w:gridCol w:w="9741"/>
      </w:tblGrid>
      <w:tr w:rsidR="00123396" w:rsidRPr="00432E20" w:rsidTr="00412637">
        <w:tc>
          <w:tcPr>
            <w:tcW w:w="9741" w:type="dxa"/>
            <w:shd w:val="clear" w:color="auto" w:fill="000000" w:themeFill="text1"/>
          </w:tcPr>
          <w:p w:rsidR="006808EC" w:rsidRPr="00432E20" w:rsidRDefault="006808EC" w:rsidP="00092E30">
            <w:pPr>
              <w:pStyle w:val="ListParagraph"/>
              <w:numPr>
                <w:ilvl w:val="0"/>
                <w:numId w:val="8"/>
              </w:numPr>
              <w:spacing w:line="360" w:lineRule="auto"/>
              <w:rPr>
                <w:rFonts w:ascii="Calibri" w:hAnsi="Calibri" w:cs="Arial"/>
                <w:b/>
                <w:color w:val="FFFFFF" w:themeColor="background1"/>
                <w:sz w:val="24"/>
                <w:szCs w:val="24"/>
              </w:rPr>
            </w:pPr>
            <w:r w:rsidRPr="00432E20">
              <w:rPr>
                <w:rFonts w:ascii="Calibri" w:hAnsi="Calibri" w:cs="Arial"/>
                <w:b/>
                <w:color w:val="FFFFFF" w:themeColor="background1"/>
                <w:sz w:val="24"/>
                <w:szCs w:val="24"/>
              </w:rPr>
              <w:t>Decision making procedures at all stages of investment, and the rationale underpinning this.</w:t>
            </w:r>
            <w:r w:rsidR="005D5D10" w:rsidRPr="00432E20">
              <w:rPr>
                <w:rFonts w:ascii="Calibri" w:hAnsi="Calibri" w:cs="Arial"/>
                <w:b/>
                <w:color w:val="FFFFFF" w:themeColor="background1"/>
                <w:sz w:val="24"/>
                <w:szCs w:val="24"/>
              </w:rPr>
              <w:t xml:space="preserve"> Confirm that manager selection and the implementation of investment strategy will be carried out at the pool level.</w:t>
            </w:r>
          </w:p>
        </w:tc>
      </w:tr>
      <w:tr w:rsidR="006808EC" w:rsidRPr="00432E20" w:rsidTr="00412637">
        <w:tc>
          <w:tcPr>
            <w:tcW w:w="9741" w:type="dxa"/>
          </w:tcPr>
          <w:p w:rsidR="006808EC" w:rsidRDefault="006808EC" w:rsidP="00092E30">
            <w:pPr>
              <w:pStyle w:val="ListParagraph"/>
              <w:numPr>
                <w:ilvl w:val="0"/>
                <w:numId w:val="11"/>
              </w:numPr>
              <w:spacing w:line="360" w:lineRule="auto"/>
              <w:rPr>
                <w:rFonts w:ascii="Calibri" w:hAnsi="Calibri" w:cs="Arial"/>
                <w:sz w:val="24"/>
                <w:szCs w:val="24"/>
              </w:rPr>
            </w:pPr>
            <w:r w:rsidRPr="00432E20">
              <w:rPr>
                <w:rFonts w:ascii="Calibri" w:hAnsi="Calibri" w:cs="Arial"/>
                <w:sz w:val="24"/>
                <w:szCs w:val="24"/>
              </w:rPr>
              <w:t xml:space="preserve">Please list the decisions that will be made by the </w:t>
            </w:r>
            <w:r w:rsidR="00BB0E3C" w:rsidRPr="00432E20">
              <w:rPr>
                <w:rFonts w:ascii="Calibri" w:hAnsi="Calibri" w:cs="Arial"/>
                <w:sz w:val="24"/>
                <w:szCs w:val="24"/>
              </w:rPr>
              <w:t xml:space="preserve">authorities </w:t>
            </w:r>
            <w:r w:rsidR="00DC03D4" w:rsidRPr="00432E20">
              <w:rPr>
                <w:rFonts w:ascii="Calibri" w:hAnsi="Calibri" w:cs="Arial"/>
                <w:sz w:val="24"/>
                <w:szCs w:val="24"/>
              </w:rPr>
              <w:t>and the rationale underpinning this</w:t>
            </w:r>
            <w:r w:rsidR="00A562A0" w:rsidRPr="00432E20">
              <w:rPr>
                <w:rFonts w:ascii="Calibri" w:hAnsi="Calibri" w:cs="Arial"/>
                <w:sz w:val="24"/>
                <w:szCs w:val="24"/>
              </w:rPr>
              <w:t>.</w:t>
            </w:r>
          </w:p>
          <w:p w:rsidR="00FB468B" w:rsidRDefault="00FB468B" w:rsidP="00FB468B">
            <w:pPr>
              <w:pStyle w:val="ListParagraph"/>
              <w:spacing w:line="360" w:lineRule="auto"/>
              <w:ind w:left="1080"/>
              <w:rPr>
                <w:rFonts w:ascii="Calibri" w:hAnsi="Calibri" w:cs="Arial"/>
                <w:sz w:val="24"/>
                <w:szCs w:val="24"/>
              </w:rPr>
            </w:pPr>
          </w:p>
          <w:p w:rsidR="003D3964" w:rsidRDefault="003D3964" w:rsidP="003D3964">
            <w:pPr>
              <w:pStyle w:val="ListParagraph"/>
              <w:spacing w:line="360" w:lineRule="auto"/>
              <w:rPr>
                <w:rFonts w:ascii="Calibri" w:hAnsi="Calibri" w:cs="Arial"/>
                <w:color w:val="2F5496" w:themeColor="accent5" w:themeShade="BF"/>
                <w:sz w:val="24"/>
                <w:szCs w:val="24"/>
              </w:rPr>
            </w:pPr>
            <w:r w:rsidRPr="00366D5B">
              <w:rPr>
                <w:rFonts w:ascii="Calibri" w:hAnsi="Calibri" w:cs="Arial"/>
                <w:color w:val="2F5496" w:themeColor="accent5" w:themeShade="BF"/>
                <w:sz w:val="24"/>
                <w:szCs w:val="24"/>
              </w:rPr>
              <w:t>The overall control of</w:t>
            </w:r>
            <w:r w:rsidR="00FB4598">
              <w:rPr>
                <w:rFonts w:ascii="Calibri" w:hAnsi="Calibri" w:cs="Arial"/>
                <w:color w:val="2F5496" w:themeColor="accent5" w:themeShade="BF"/>
                <w:sz w:val="24"/>
                <w:szCs w:val="24"/>
              </w:rPr>
              <w:t xml:space="preserve"> each individual authority</w:t>
            </w:r>
            <w:r w:rsidRPr="00366D5B">
              <w:rPr>
                <w:rFonts w:ascii="Calibri" w:hAnsi="Calibri" w:cs="Arial"/>
                <w:color w:val="2F5496" w:themeColor="accent5" w:themeShade="BF"/>
                <w:sz w:val="24"/>
                <w:szCs w:val="24"/>
              </w:rPr>
              <w:t xml:space="preserve"> pension fund stays at the local level and </w:t>
            </w:r>
            <w:r w:rsidR="009F15E9">
              <w:rPr>
                <w:rFonts w:ascii="Calibri" w:hAnsi="Calibri" w:cs="Arial"/>
                <w:color w:val="2F5496" w:themeColor="accent5" w:themeShade="BF"/>
                <w:sz w:val="24"/>
                <w:szCs w:val="24"/>
              </w:rPr>
              <w:t>Authorities</w:t>
            </w:r>
            <w:r w:rsidRPr="00366D5B">
              <w:rPr>
                <w:rFonts w:ascii="Calibri" w:hAnsi="Calibri" w:cs="Arial"/>
                <w:color w:val="2F5496" w:themeColor="accent5" w:themeShade="BF"/>
                <w:sz w:val="24"/>
                <w:szCs w:val="24"/>
              </w:rPr>
              <w:t xml:space="preserve"> will continue to set their </w:t>
            </w:r>
            <w:r w:rsidR="00FB4598">
              <w:rPr>
                <w:rFonts w:ascii="Calibri" w:hAnsi="Calibri" w:cs="Arial"/>
                <w:color w:val="2F5496" w:themeColor="accent5" w:themeShade="BF"/>
                <w:sz w:val="24"/>
                <w:szCs w:val="24"/>
              </w:rPr>
              <w:t xml:space="preserve">fund </w:t>
            </w:r>
            <w:r w:rsidRPr="00366D5B">
              <w:rPr>
                <w:rFonts w:ascii="Calibri" w:hAnsi="Calibri" w:cs="Arial"/>
                <w:color w:val="2F5496" w:themeColor="accent5" w:themeShade="BF"/>
                <w:sz w:val="24"/>
                <w:szCs w:val="24"/>
              </w:rPr>
              <w:t>investment strategy and decide t</w:t>
            </w:r>
            <w:r w:rsidR="00FB4598">
              <w:rPr>
                <w:rFonts w:ascii="Calibri" w:hAnsi="Calibri" w:cs="Arial"/>
                <w:color w:val="2F5496" w:themeColor="accent5" w:themeShade="BF"/>
                <w:sz w:val="24"/>
                <w:szCs w:val="24"/>
              </w:rPr>
              <w:t>he most appropriate</w:t>
            </w:r>
            <w:r w:rsidRPr="00366D5B">
              <w:rPr>
                <w:rFonts w:ascii="Calibri" w:hAnsi="Calibri" w:cs="Arial"/>
                <w:color w:val="2F5496" w:themeColor="accent5" w:themeShade="BF"/>
                <w:sz w:val="24"/>
                <w:szCs w:val="24"/>
              </w:rPr>
              <w:t xml:space="preserve"> asset allocation mix in conjunction with advice from their </w:t>
            </w:r>
            <w:r w:rsidR="00FB4598">
              <w:rPr>
                <w:rFonts w:ascii="Calibri" w:hAnsi="Calibri" w:cs="Arial"/>
                <w:color w:val="2F5496" w:themeColor="accent5" w:themeShade="BF"/>
                <w:sz w:val="24"/>
                <w:szCs w:val="24"/>
              </w:rPr>
              <w:t>officers</w:t>
            </w:r>
            <w:r w:rsidR="00DA5ADB">
              <w:rPr>
                <w:rFonts w:ascii="Calibri" w:hAnsi="Calibri" w:cs="Arial"/>
                <w:color w:val="2F5496" w:themeColor="accent5" w:themeShade="BF"/>
                <w:sz w:val="24"/>
                <w:szCs w:val="24"/>
              </w:rPr>
              <w:t>,</w:t>
            </w:r>
            <w:r w:rsidR="00FB4598">
              <w:rPr>
                <w:rFonts w:ascii="Calibri" w:hAnsi="Calibri" w:cs="Arial"/>
                <w:color w:val="2F5496" w:themeColor="accent5" w:themeShade="BF"/>
                <w:sz w:val="24"/>
                <w:szCs w:val="24"/>
              </w:rPr>
              <w:t xml:space="preserve"> </w:t>
            </w:r>
            <w:r w:rsidRPr="00366D5B">
              <w:rPr>
                <w:rFonts w:ascii="Calibri" w:hAnsi="Calibri" w:cs="Arial"/>
                <w:color w:val="2F5496" w:themeColor="accent5" w:themeShade="BF"/>
                <w:sz w:val="24"/>
                <w:szCs w:val="24"/>
              </w:rPr>
              <w:t xml:space="preserve">Consultants and Advisors. </w:t>
            </w:r>
            <w:r w:rsidR="00FB4598">
              <w:rPr>
                <w:rFonts w:ascii="Calibri" w:hAnsi="Calibri" w:cs="Arial"/>
                <w:color w:val="2F5496" w:themeColor="accent5" w:themeShade="BF"/>
                <w:sz w:val="24"/>
                <w:szCs w:val="24"/>
              </w:rPr>
              <w:t>Therefore</w:t>
            </w:r>
            <w:r w:rsidR="00DA5ADB">
              <w:rPr>
                <w:rFonts w:ascii="Calibri" w:hAnsi="Calibri" w:cs="Arial"/>
                <w:color w:val="2F5496" w:themeColor="accent5" w:themeShade="BF"/>
                <w:sz w:val="24"/>
                <w:szCs w:val="24"/>
              </w:rPr>
              <w:t>,</w:t>
            </w:r>
            <w:r w:rsidR="00FB4598">
              <w:rPr>
                <w:rFonts w:ascii="Calibri" w:hAnsi="Calibri" w:cs="Arial"/>
                <w:color w:val="2F5496" w:themeColor="accent5" w:themeShade="BF"/>
                <w:sz w:val="24"/>
                <w:szCs w:val="24"/>
              </w:rPr>
              <w:t xml:space="preserve"> </w:t>
            </w:r>
            <w:r w:rsidRPr="00366D5B">
              <w:rPr>
                <w:rFonts w:ascii="Calibri" w:hAnsi="Calibri" w:cs="Arial"/>
                <w:color w:val="2F5496" w:themeColor="accent5" w:themeShade="BF"/>
                <w:sz w:val="24"/>
                <w:szCs w:val="24"/>
              </w:rPr>
              <w:t xml:space="preserve">Individual Pension Committees will continue to </w:t>
            </w:r>
            <w:r w:rsidRPr="00366D5B">
              <w:rPr>
                <w:rFonts w:ascii="Calibri" w:hAnsi="Calibri" w:cs="Arial"/>
                <w:color w:val="2F5496" w:themeColor="accent5" w:themeShade="BF"/>
                <w:sz w:val="24"/>
                <w:szCs w:val="24"/>
              </w:rPr>
              <w:lastRenderedPageBreak/>
              <w:t>make all the key decisions as they do now in relation to asset allocation and investment strategy.</w:t>
            </w:r>
          </w:p>
          <w:p w:rsidR="003D3964" w:rsidRDefault="003D3964" w:rsidP="003D3964">
            <w:pPr>
              <w:pStyle w:val="ListParagraph"/>
              <w:spacing w:line="360" w:lineRule="auto"/>
              <w:rPr>
                <w:rFonts w:ascii="Calibri" w:hAnsi="Calibri" w:cs="Arial"/>
                <w:color w:val="2F5496" w:themeColor="accent5" w:themeShade="BF"/>
                <w:sz w:val="24"/>
                <w:szCs w:val="24"/>
              </w:rPr>
            </w:pPr>
            <w:r>
              <w:rPr>
                <w:rFonts w:ascii="Calibri" w:hAnsi="Calibri" w:cs="Arial"/>
                <w:color w:val="2F5496" w:themeColor="accent5" w:themeShade="BF"/>
                <w:sz w:val="24"/>
                <w:szCs w:val="24"/>
              </w:rPr>
              <w:t>Funds will therefore continue to make decisions around:</w:t>
            </w:r>
          </w:p>
          <w:p w:rsidR="003D3964" w:rsidRDefault="003D3964" w:rsidP="00092E30">
            <w:pPr>
              <w:pStyle w:val="ListParagraph"/>
              <w:numPr>
                <w:ilvl w:val="0"/>
                <w:numId w:val="35"/>
              </w:numPr>
              <w:spacing w:line="360" w:lineRule="auto"/>
              <w:rPr>
                <w:rFonts w:ascii="Calibri" w:hAnsi="Calibri" w:cs="Arial"/>
                <w:color w:val="2F5496" w:themeColor="accent5" w:themeShade="BF"/>
                <w:sz w:val="24"/>
                <w:szCs w:val="24"/>
              </w:rPr>
            </w:pPr>
            <w:r>
              <w:rPr>
                <w:rFonts w:ascii="Calibri" w:hAnsi="Calibri" w:cs="Arial"/>
                <w:color w:val="2F5496" w:themeColor="accent5" w:themeShade="BF"/>
                <w:sz w:val="24"/>
                <w:szCs w:val="24"/>
              </w:rPr>
              <w:t xml:space="preserve">Funding </w:t>
            </w:r>
          </w:p>
          <w:p w:rsidR="003D3964" w:rsidRDefault="003D3964" w:rsidP="00092E30">
            <w:pPr>
              <w:pStyle w:val="ListParagraph"/>
              <w:numPr>
                <w:ilvl w:val="0"/>
                <w:numId w:val="35"/>
              </w:numPr>
              <w:spacing w:line="360" w:lineRule="auto"/>
              <w:rPr>
                <w:rFonts w:ascii="Calibri" w:hAnsi="Calibri" w:cs="Arial"/>
                <w:color w:val="2F5496" w:themeColor="accent5" w:themeShade="BF"/>
                <w:sz w:val="24"/>
                <w:szCs w:val="24"/>
              </w:rPr>
            </w:pPr>
            <w:r>
              <w:rPr>
                <w:rFonts w:ascii="Calibri" w:hAnsi="Calibri" w:cs="Arial"/>
                <w:color w:val="2F5496" w:themeColor="accent5" w:themeShade="BF"/>
                <w:sz w:val="24"/>
                <w:szCs w:val="24"/>
              </w:rPr>
              <w:t>Asset Allocation</w:t>
            </w:r>
          </w:p>
          <w:p w:rsidR="003D3964" w:rsidRDefault="003D3964" w:rsidP="00092E30">
            <w:pPr>
              <w:pStyle w:val="ListParagraph"/>
              <w:numPr>
                <w:ilvl w:val="0"/>
                <w:numId w:val="35"/>
              </w:numPr>
              <w:spacing w:line="360" w:lineRule="auto"/>
              <w:rPr>
                <w:rFonts w:ascii="Calibri" w:hAnsi="Calibri" w:cs="Arial"/>
                <w:color w:val="2F5496" w:themeColor="accent5" w:themeShade="BF"/>
                <w:sz w:val="24"/>
                <w:szCs w:val="24"/>
              </w:rPr>
            </w:pPr>
            <w:r>
              <w:rPr>
                <w:rFonts w:ascii="Calibri" w:hAnsi="Calibri" w:cs="Arial"/>
                <w:color w:val="2F5496" w:themeColor="accent5" w:themeShade="BF"/>
                <w:sz w:val="24"/>
                <w:szCs w:val="24"/>
              </w:rPr>
              <w:t>Investment Strategy</w:t>
            </w:r>
          </w:p>
          <w:p w:rsidR="003D3964" w:rsidRDefault="003D3964" w:rsidP="00092E30">
            <w:pPr>
              <w:pStyle w:val="ListParagraph"/>
              <w:numPr>
                <w:ilvl w:val="0"/>
                <w:numId w:val="35"/>
              </w:numPr>
              <w:spacing w:line="360" w:lineRule="auto"/>
              <w:rPr>
                <w:rFonts w:ascii="Calibri" w:hAnsi="Calibri" w:cs="Arial"/>
                <w:color w:val="2F5496" w:themeColor="accent5" w:themeShade="BF"/>
                <w:sz w:val="24"/>
                <w:szCs w:val="24"/>
              </w:rPr>
            </w:pPr>
            <w:r>
              <w:rPr>
                <w:rFonts w:ascii="Calibri" w:hAnsi="Calibri" w:cs="Arial"/>
                <w:color w:val="2F5496" w:themeColor="accent5" w:themeShade="BF"/>
                <w:sz w:val="24"/>
                <w:szCs w:val="24"/>
              </w:rPr>
              <w:t>Appointment of advisers</w:t>
            </w:r>
          </w:p>
          <w:p w:rsidR="003D3964" w:rsidRDefault="003D3964" w:rsidP="00092E30">
            <w:pPr>
              <w:pStyle w:val="ListParagraph"/>
              <w:numPr>
                <w:ilvl w:val="0"/>
                <w:numId w:val="35"/>
              </w:numPr>
              <w:spacing w:line="360" w:lineRule="auto"/>
              <w:rPr>
                <w:rFonts w:ascii="Calibri" w:hAnsi="Calibri" w:cs="Arial"/>
                <w:color w:val="2F5496" w:themeColor="accent5" w:themeShade="BF"/>
                <w:sz w:val="24"/>
                <w:szCs w:val="24"/>
              </w:rPr>
            </w:pPr>
            <w:r>
              <w:rPr>
                <w:rFonts w:ascii="Calibri" w:hAnsi="Calibri" w:cs="Arial"/>
                <w:color w:val="2F5496" w:themeColor="accent5" w:themeShade="BF"/>
                <w:sz w:val="24"/>
                <w:szCs w:val="24"/>
              </w:rPr>
              <w:t>Governance structures for the Fund</w:t>
            </w:r>
          </w:p>
          <w:p w:rsidR="003D3964" w:rsidRDefault="003D3964" w:rsidP="00092E30">
            <w:pPr>
              <w:pStyle w:val="ListParagraph"/>
              <w:numPr>
                <w:ilvl w:val="0"/>
                <w:numId w:val="35"/>
              </w:numPr>
              <w:spacing w:line="360" w:lineRule="auto"/>
              <w:rPr>
                <w:rFonts w:ascii="Calibri" w:hAnsi="Calibri" w:cs="Arial"/>
                <w:color w:val="2F5496" w:themeColor="accent5" w:themeShade="BF"/>
                <w:sz w:val="24"/>
                <w:szCs w:val="24"/>
              </w:rPr>
            </w:pPr>
            <w:r>
              <w:rPr>
                <w:rFonts w:ascii="Calibri" w:hAnsi="Calibri" w:cs="Arial"/>
                <w:color w:val="2F5496" w:themeColor="accent5" w:themeShade="BF"/>
                <w:sz w:val="24"/>
                <w:szCs w:val="24"/>
              </w:rPr>
              <w:t>Setting their own Responsible investment strategy</w:t>
            </w:r>
          </w:p>
          <w:p w:rsidR="003D3964" w:rsidRPr="00366D5B" w:rsidRDefault="003D3964" w:rsidP="00092E30">
            <w:pPr>
              <w:pStyle w:val="ListParagraph"/>
              <w:numPr>
                <w:ilvl w:val="0"/>
                <w:numId w:val="35"/>
              </w:numPr>
              <w:spacing w:line="360" w:lineRule="auto"/>
              <w:rPr>
                <w:rFonts w:ascii="Calibri" w:hAnsi="Calibri" w:cs="Arial"/>
                <w:color w:val="2F5496" w:themeColor="accent5" w:themeShade="BF"/>
                <w:sz w:val="24"/>
                <w:szCs w:val="24"/>
              </w:rPr>
            </w:pPr>
            <w:r>
              <w:rPr>
                <w:rFonts w:ascii="Calibri" w:hAnsi="Calibri" w:cs="Arial"/>
                <w:color w:val="2F5496" w:themeColor="accent5" w:themeShade="BF"/>
                <w:sz w:val="24"/>
                <w:szCs w:val="24"/>
              </w:rPr>
              <w:t>Preparing and ratifying relevant Fund policy statements in accordance with the regulations e.g. Funding Strategy Statement, Investment Strategy Statement, etc.</w:t>
            </w:r>
          </w:p>
          <w:p w:rsidR="003D3964" w:rsidRPr="00432E20" w:rsidRDefault="003D3964" w:rsidP="003D3964">
            <w:pPr>
              <w:pStyle w:val="ListParagraph"/>
              <w:spacing w:line="360" w:lineRule="auto"/>
              <w:ind w:left="1080"/>
              <w:rPr>
                <w:rFonts w:ascii="Calibri" w:hAnsi="Calibri" w:cs="Arial"/>
                <w:sz w:val="24"/>
                <w:szCs w:val="24"/>
              </w:rPr>
            </w:pPr>
          </w:p>
        </w:tc>
      </w:tr>
      <w:tr w:rsidR="006808EC" w:rsidRPr="00432E20" w:rsidTr="00412637">
        <w:tc>
          <w:tcPr>
            <w:tcW w:w="9741" w:type="dxa"/>
          </w:tcPr>
          <w:p w:rsidR="006808EC" w:rsidRDefault="006808EC" w:rsidP="00092E30">
            <w:pPr>
              <w:pStyle w:val="ListParagraph"/>
              <w:numPr>
                <w:ilvl w:val="0"/>
                <w:numId w:val="11"/>
              </w:numPr>
              <w:spacing w:line="360" w:lineRule="auto"/>
              <w:rPr>
                <w:rFonts w:ascii="Calibri" w:hAnsi="Calibri" w:cs="Arial"/>
                <w:sz w:val="24"/>
                <w:szCs w:val="24"/>
              </w:rPr>
            </w:pPr>
            <w:r w:rsidRPr="00432E20">
              <w:rPr>
                <w:rFonts w:ascii="Calibri" w:hAnsi="Calibri" w:cs="Arial"/>
                <w:sz w:val="24"/>
                <w:szCs w:val="24"/>
              </w:rPr>
              <w:lastRenderedPageBreak/>
              <w:t xml:space="preserve">Please list the decisions to be made </w:t>
            </w:r>
            <w:r w:rsidR="00704CEF" w:rsidRPr="00432E20">
              <w:rPr>
                <w:rFonts w:ascii="Calibri" w:hAnsi="Calibri" w:cs="Arial"/>
                <w:sz w:val="24"/>
                <w:szCs w:val="24"/>
              </w:rPr>
              <w:t>at</w:t>
            </w:r>
            <w:r w:rsidRPr="00432E20">
              <w:rPr>
                <w:rFonts w:ascii="Calibri" w:hAnsi="Calibri" w:cs="Arial"/>
                <w:sz w:val="24"/>
                <w:szCs w:val="24"/>
              </w:rPr>
              <w:t xml:space="preserve"> the </w:t>
            </w:r>
            <w:r w:rsidR="001E51D9" w:rsidRPr="00432E20">
              <w:rPr>
                <w:rFonts w:ascii="Calibri" w:hAnsi="Calibri" w:cs="Arial"/>
                <w:sz w:val="24"/>
                <w:szCs w:val="24"/>
              </w:rPr>
              <w:t>pool</w:t>
            </w:r>
            <w:r w:rsidR="00704CEF" w:rsidRPr="00432E20">
              <w:rPr>
                <w:rFonts w:ascii="Calibri" w:hAnsi="Calibri" w:cs="Arial"/>
                <w:sz w:val="24"/>
                <w:szCs w:val="24"/>
              </w:rPr>
              <w:t xml:space="preserve"> level</w:t>
            </w:r>
            <w:r w:rsidR="00DC03D4" w:rsidRPr="00432E20">
              <w:rPr>
                <w:rFonts w:ascii="Calibri" w:hAnsi="Calibri" w:cs="Arial"/>
                <w:sz w:val="24"/>
                <w:szCs w:val="24"/>
              </w:rPr>
              <w:t xml:space="preserve"> and the rationale underpinning this</w:t>
            </w:r>
            <w:r w:rsidR="00A562A0" w:rsidRPr="00432E20">
              <w:rPr>
                <w:rFonts w:ascii="Calibri" w:hAnsi="Calibri" w:cs="Arial"/>
                <w:sz w:val="24"/>
                <w:szCs w:val="24"/>
              </w:rPr>
              <w:t>.</w:t>
            </w:r>
          </w:p>
          <w:p w:rsidR="003D3964" w:rsidRPr="00366D5B" w:rsidRDefault="003D3964" w:rsidP="003D3964">
            <w:pPr>
              <w:pStyle w:val="ListParagraph"/>
              <w:spacing w:line="360" w:lineRule="auto"/>
              <w:ind w:left="714"/>
              <w:rPr>
                <w:rFonts w:ascii="Calibri" w:hAnsi="Calibri" w:cs="Arial"/>
                <w:color w:val="2F5496" w:themeColor="accent5" w:themeShade="BF"/>
                <w:sz w:val="24"/>
                <w:szCs w:val="24"/>
              </w:rPr>
            </w:pPr>
            <w:r w:rsidRPr="00366D5B">
              <w:rPr>
                <w:rFonts w:ascii="Calibri" w:hAnsi="Calibri" w:cs="Arial"/>
                <w:color w:val="2F5496" w:themeColor="accent5" w:themeShade="BF"/>
                <w:sz w:val="24"/>
                <w:szCs w:val="24"/>
              </w:rPr>
              <w:t>The London CIV will be responsible for making decisions covering the appointment and removal of any</w:t>
            </w:r>
            <w:r w:rsidR="00FB4598">
              <w:rPr>
                <w:rFonts w:ascii="Calibri" w:hAnsi="Calibri" w:cs="Arial"/>
                <w:color w:val="2F5496" w:themeColor="accent5" w:themeShade="BF"/>
                <w:sz w:val="24"/>
                <w:szCs w:val="24"/>
              </w:rPr>
              <w:t xml:space="preserve"> 3</w:t>
            </w:r>
            <w:r w:rsidR="00FB4598" w:rsidRPr="00FB4598">
              <w:rPr>
                <w:rFonts w:ascii="Calibri" w:hAnsi="Calibri" w:cs="Arial"/>
                <w:color w:val="2F5496" w:themeColor="accent5" w:themeShade="BF"/>
                <w:sz w:val="24"/>
                <w:szCs w:val="24"/>
                <w:vertAlign w:val="superscript"/>
              </w:rPr>
              <w:t>rd</w:t>
            </w:r>
            <w:r w:rsidR="00FB4598">
              <w:rPr>
                <w:rFonts w:ascii="Calibri" w:hAnsi="Calibri" w:cs="Arial"/>
                <w:color w:val="2F5496" w:themeColor="accent5" w:themeShade="BF"/>
                <w:sz w:val="24"/>
                <w:szCs w:val="24"/>
              </w:rPr>
              <w:t xml:space="preserve"> party </w:t>
            </w:r>
            <w:r w:rsidRPr="00366D5B">
              <w:rPr>
                <w:rFonts w:ascii="Calibri" w:hAnsi="Calibri" w:cs="Arial"/>
                <w:color w:val="2F5496" w:themeColor="accent5" w:themeShade="BF"/>
                <w:sz w:val="24"/>
                <w:szCs w:val="24"/>
              </w:rPr>
              <w:t xml:space="preserve"> fund managers to be appointed to sub-funds (in</w:t>
            </w:r>
            <w:r>
              <w:rPr>
                <w:rFonts w:ascii="Calibri" w:hAnsi="Calibri" w:cs="Arial"/>
                <w:color w:val="2F5496" w:themeColor="accent5" w:themeShade="BF"/>
                <w:sz w:val="24"/>
                <w:szCs w:val="24"/>
              </w:rPr>
              <w:t xml:space="preserve"> the first instance in the ACS). As an FCA regulated AIFM, the decisions in respect of investment have to be made by the company.</w:t>
            </w:r>
          </w:p>
          <w:p w:rsidR="003D3964" w:rsidRPr="00432E20" w:rsidRDefault="003D3964" w:rsidP="003D3964">
            <w:pPr>
              <w:pStyle w:val="ListParagraph"/>
              <w:spacing w:line="360" w:lineRule="auto"/>
              <w:ind w:left="1080"/>
              <w:rPr>
                <w:rFonts w:ascii="Calibri" w:hAnsi="Calibri" w:cs="Arial"/>
                <w:sz w:val="24"/>
                <w:szCs w:val="24"/>
              </w:rPr>
            </w:pPr>
          </w:p>
        </w:tc>
      </w:tr>
      <w:tr w:rsidR="00056EFB" w:rsidRPr="00432E20" w:rsidTr="00412637">
        <w:tc>
          <w:tcPr>
            <w:tcW w:w="9741" w:type="dxa"/>
          </w:tcPr>
          <w:p w:rsidR="00056EFB" w:rsidRDefault="00704CEF" w:rsidP="00092E30">
            <w:pPr>
              <w:pStyle w:val="ListParagraph"/>
              <w:numPr>
                <w:ilvl w:val="0"/>
                <w:numId w:val="11"/>
              </w:numPr>
              <w:spacing w:line="360" w:lineRule="auto"/>
              <w:rPr>
                <w:rFonts w:ascii="Calibri" w:hAnsi="Calibri" w:cs="Arial"/>
                <w:sz w:val="24"/>
                <w:szCs w:val="24"/>
              </w:rPr>
            </w:pPr>
            <w:r w:rsidRPr="00432E20">
              <w:rPr>
                <w:rFonts w:ascii="Calibri" w:hAnsi="Calibri" w:cs="Arial"/>
                <w:sz w:val="24"/>
                <w:szCs w:val="24"/>
              </w:rPr>
              <w:t>Please list the decisions to be made by the supervisory body</w:t>
            </w:r>
            <w:r w:rsidR="00DC03D4" w:rsidRPr="00432E20">
              <w:rPr>
                <w:rFonts w:ascii="Calibri" w:hAnsi="Calibri" w:cs="Arial"/>
                <w:sz w:val="24"/>
                <w:szCs w:val="24"/>
              </w:rPr>
              <w:t xml:space="preserve"> and the rationale underpinning this</w:t>
            </w:r>
            <w:r w:rsidR="00A562A0" w:rsidRPr="00432E20">
              <w:rPr>
                <w:rFonts w:ascii="Calibri" w:hAnsi="Calibri" w:cs="Arial"/>
                <w:sz w:val="24"/>
                <w:szCs w:val="24"/>
              </w:rPr>
              <w:t>.</w:t>
            </w:r>
          </w:p>
          <w:p w:rsidR="00FC2E6D" w:rsidRPr="00FB468B" w:rsidRDefault="00FC2E6D" w:rsidP="003D3964">
            <w:pPr>
              <w:pStyle w:val="ListParagraph"/>
              <w:spacing w:line="360" w:lineRule="auto"/>
              <w:ind w:left="1080"/>
              <w:rPr>
                <w:rFonts w:ascii="Calibri" w:hAnsi="Calibri" w:cs="Arial"/>
                <w:color w:val="2F5496" w:themeColor="accent5" w:themeShade="BF"/>
                <w:sz w:val="24"/>
                <w:szCs w:val="24"/>
              </w:rPr>
            </w:pPr>
            <w:r w:rsidRPr="00FB468B">
              <w:rPr>
                <w:rFonts w:ascii="Calibri" w:hAnsi="Calibri" w:cs="Arial"/>
                <w:color w:val="2F5496" w:themeColor="accent5" w:themeShade="BF"/>
                <w:sz w:val="24"/>
                <w:szCs w:val="24"/>
              </w:rPr>
              <w:t>The London CIV Board of Directors will make decisions on the following:</w:t>
            </w:r>
          </w:p>
          <w:p w:rsidR="00FC2E6D" w:rsidRPr="00FB468B" w:rsidRDefault="00FC2E6D" w:rsidP="00FC2E6D">
            <w:pPr>
              <w:pStyle w:val="ListParagraph"/>
              <w:numPr>
                <w:ilvl w:val="0"/>
                <w:numId w:val="33"/>
              </w:numPr>
              <w:spacing w:line="360" w:lineRule="auto"/>
              <w:rPr>
                <w:rFonts w:ascii="Calibri" w:hAnsi="Calibri" w:cs="Arial"/>
                <w:color w:val="2F5496" w:themeColor="accent5" w:themeShade="BF"/>
                <w:sz w:val="24"/>
                <w:szCs w:val="24"/>
              </w:rPr>
            </w:pPr>
            <w:r w:rsidRPr="00FB468B">
              <w:rPr>
                <w:rFonts w:ascii="Calibri" w:hAnsi="Calibri" w:cs="Arial"/>
                <w:color w:val="2F5496" w:themeColor="accent5" w:themeShade="BF"/>
                <w:sz w:val="24"/>
                <w:szCs w:val="24"/>
              </w:rPr>
              <w:t>Development of the Company</w:t>
            </w:r>
          </w:p>
          <w:p w:rsidR="00FC2E6D" w:rsidRPr="00FB468B" w:rsidRDefault="00FC2E6D" w:rsidP="00FC2E6D">
            <w:pPr>
              <w:pStyle w:val="ListParagraph"/>
              <w:numPr>
                <w:ilvl w:val="0"/>
                <w:numId w:val="33"/>
              </w:numPr>
              <w:spacing w:line="360" w:lineRule="auto"/>
              <w:rPr>
                <w:rFonts w:ascii="Calibri" w:hAnsi="Calibri" w:cs="Arial"/>
                <w:color w:val="2F5496" w:themeColor="accent5" w:themeShade="BF"/>
                <w:sz w:val="24"/>
                <w:szCs w:val="24"/>
              </w:rPr>
            </w:pPr>
            <w:r w:rsidRPr="00FB468B">
              <w:rPr>
                <w:rFonts w:ascii="Calibri" w:hAnsi="Calibri" w:cs="Arial"/>
                <w:color w:val="2F5496" w:themeColor="accent5" w:themeShade="BF"/>
                <w:sz w:val="24"/>
                <w:szCs w:val="24"/>
              </w:rPr>
              <w:t>Decisions on sub-fund launch and whether to open additional fund structure</w:t>
            </w:r>
          </w:p>
          <w:p w:rsidR="00A80D21" w:rsidRPr="00FB468B" w:rsidRDefault="00FC2E6D" w:rsidP="00A80D21">
            <w:pPr>
              <w:pStyle w:val="ListParagraph"/>
              <w:numPr>
                <w:ilvl w:val="0"/>
                <w:numId w:val="33"/>
              </w:numPr>
              <w:spacing w:line="360" w:lineRule="auto"/>
              <w:rPr>
                <w:rFonts w:ascii="Calibri" w:hAnsi="Calibri" w:cs="Arial"/>
                <w:color w:val="2F5496" w:themeColor="accent5" w:themeShade="BF"/>
                <w:sz w:val="24"/>
                <w:szCs w:val="24"/>
              </w:rPr>
            </w:pPr>
            <w:r w:rsidRPr="00FB468B">
              <w:rPr>
                <w:rFonts w:ascii="Calibri" w:hAnsi="Calibri" w:cs="Arial"/>
                <w:color w:val="2F5496" w:themeColor="accent5" w:themeShade="BF"/>
                <w:sz w:val="24"/>
                <w:szCs w:val="24"/>
              </w:rPr>
              <w:t>Company Budget including fee structures</w:t>
            </w:r>
          </w:p>
          <w:p w:rsidR="00FC2E6D" w:rsidRPr="00A80D21" w:rsidRDefault="00FC2E6D" w:rsidP="00A80D21">
            <w:pPr>
              <w:pStyle w:val="ListParagraph"/>
              <w:numPr>
                <w:ilvl w:val="0"/>
                <w:numId w:val="33"/>
              </w:numPr>
              <w:spacing w:line="360" w:lineRule="auto"/>
              <w:rPr>
                <w:rFonts w:ascii="Calibri" w:hAnsi="Calibri" w:cs="Arial"/>
                <w:color w:val="0070C0"/>
                <w:sz w:val="24"/>
                <w:szCs w:val="24"/>
              </w:rPr>
            </w:pPr>
            <w:r w:rsidRPr="00FB468B">
              <w:rPr>
                <w:rFonts w:ascii="Calibri" w:hAnsi="Calibri" w:cs="Arial"/>
                <w:color w:val="2F5496" w:themeColor="accent5" w:themeShade="BF"/>
                <w:sz w:val="24"/>
                <w:szCs w:val="24"/>
              </w:rPr>
              <w:t xml:space="preserve">Development of strategy  in respect of timescales for fund development </w:t>
            </w:r>
          </w:p>
        </w:tc>
      </w:tr>
    </w:tbl>
    <w:p w:rsidR="00A7164B" w:rsidRPr="00432E20" w:rsidRDefault="00A7164B" w:rsidP="00A7164B">
      <w:pPr>
        <w:spacing w:after="0" w:line="360" w:lineRule="auto"/>
        <w:rPr>
          <w:rFonts w:ascii="Calibri" w:hAnsi="Calibri" w:cs="Arial"/>
          <w:sz w:val="24"/>
          <w:szCs w:val="24"/>
        </w:rPr>
      </w:pPr>
    </w:p>
    <w:tbl>
      <w:tblPr>
        <w:tblStyle w:val="TableGrid"/>
        <w:tblW w:w="9781" w:type="dxa"/>
        <w:tblInd w:w="-5" w:type="dxa"/>
        <w:tblLook w:val="04A0" w:firstRow="1" w:lastRow="0" w:firstColumn="1" w:lastColumn="0" w:noHBand="0" w:noVBand="1"/>
      </w:tblPr>
      <w:tblGrid>
        <w:gridCol w:w="5954"/>
        <w:gridCol w:w="3827"/>
      </w:tblGrid>
      <w:tr w:rsidR="00123396" w:rsidRPr="00432E20" w:rsidTr="00412637">
        <w:tc>
          <w:tcPr>
            <w:tcW w:w="9781" w:type="dxa"/>
            <w:gridSpan w:val="2"/>
            <w:shd w:val="clear" w:color="auto" w:fill="000000" w:themeFill="text1"/>
          </w:tcPr>
          <w:p w:rsidR="00D4352C" w:rsidRPr="00432E20" w:rsidRDefault="00D4352C" w:rsidP="00092E30">
            <w:pPr>
              <w:pStyle w:val="ListParagraph"/>
              <w:numPr>
                <w:ilvl w:val="0"/>
                <w:numId w:val="8"/>
              </w:numPr>
              <w:spacing w:line="360" w:lineRule="auto"/>
              <w:rPr>
                <w:rFonts w:ascii="Calibri" w:hAnsi="Calibri" w:cs="Arial"/>
                <w:b/>
                <w:color w:val="FFFFFF" w:themeColor="background1"/>
                <w:sz w:val="24"/>
                <w:szCs w:val="24"/>
              </w:rPr>
            </w:pPr>
            <w:r w:rsidRPr="00432E20">
              <w:rPr>
                <w:rFonts w:ascii="Calibri" w:hAnsi="Calibri" w:cs="Arial"/>
                <w:b/>
                <w:color w:val="FFFFFF" w:themeColor="background1"/>
                <w:sz w:val="24"/>
                <w:szCs w:val="24"/>
              </w:rPr>
              <w:t xml:space="preserve">The shared </w:t>
            </w:r>
            <w:r w:rsidR="00106ACC" w:rsidRPr="00432E20">
              <w:rPr>
                <w:rFonts w:ascii="Calibri" w:hAnsi="Calibri" w:cs="Arial"/>
                <w:b/>
                <w:color w:val="FFFFFF" w:themeColor="background1"/>
                <w:sz w:val="24"/>
                <w:szCs w:val="24"/>
              </w:rPr>
              <w:t xml:space="preserve">objectives </w:t>
            </w:r>
            <w:r w:rsidRPr="00432E20">
              <w:rPr>
                <w:rFonts w:ascii="Calibri" w:hAnsi="Calibri" w:cs="Arial"/>
                <w:b/>
                <w:color w:val="FFFFFF" w:themeColor="background1"/>
                <w:sz w:val="24"/>
                <w:szCs w:val="24"/>
              </w:rPr>
              <w:t>for the pool and any policies that are to be agreed between participants.</w:t>
            </w:r>
          </w:p>
        </w:tc>
      </w:tr>
      <w:tr w:rsidR="00D4352C" w:rsidRPr="00432E20" w:rsidTr="00412637">
        <w:tc>
          <w:tcPr>
            <w:tcW w:w="9781" w:type="dxa"/>
            <w:gridSpan w:val="2"/>
          </w:tcPr>
          <w:p w:rsidR="00D4352C" w:rsidRPr="00432E20" w:rsidRDefault="00D4352C" w:rsidP="00092E30">
            <w:pPr>
              <w:pStyle w:val="ListParagraph"/>
              <w:numPr>
                <w:ilvl w:val="0"/>
                <w:numId w:val="12"/>
              </w:numPr>
              <w:spacing w:line="360" w:lineRule="auto"/>
              <w:rPr>
                <w:rFonts w:ascii="Calibri" w:hAnsi="Calibri" w:cs="Arial"/>
                <w:sz w:val="24"/>
                <w:szCs w:val="24"/>
              </w:rPr>
            </w:pPr>
            <w:r w:rsidRPr="00432E20">
              <w:rPr>
                <w:rFonts w:ascii="Calibri" w:hAnsi="Calibri" w:cs="Arial"/>
                <w:sz w:val="24"/>
                <w:szCs w:val="24"/>
              </w:rPr>
              <w:t xml:space="preserve">Please set out below the shared </w:t>
            </w:r>
            <w:r w:rsidR="00106ACC" w:rsidRPr="00432E20">
              <w:rPr>
                <w:rFonts w:ascii="Calibri" w:hAnsi="Calibri" w:cs="Arial"/>
                <w:sz w:val="24"/>
                <w:szCs w:val="24"/>
              </w:rPr>
              <w:t xml:space="preserve">objectives </w:t>
            </w:r>
            <w:r w:rsidRPr="00432E20">
              <w:rPr>
                <w:rFonts w:ascii="Calibri" w:hAnsi="Calibri" w:cs="Arial"/>
                <w:sz w:val="24"/>
                <w:szCs w:val="24"/>
              </w:rPr>
              <w:t>for the pool</w:t>
            </w:r>
            <w:r w:rsidR="00A562A0" w:rsidRPr="00432E20">
              <w:rPr>
                <w:rFonts w:ascii="Calibri" w:hAnsi="Calibri" w:cs="Arial"/>
                <w:sz w:val="24"/>
                <w:szCs w:val="24"/>
              </w:rPr>
              <w:t>.</w:t>
            </w:r>
          </w:p>
        </w:tc>
      </w:tr>
      <w:tr w:rsidR="00D4352C" w:rsidRPr="00432E20" w:rsidTr="00412637">
        <w:tc>
          <w:tcPr>
            <w:tcW w:w="9781" w:type="dxa"/>
            <w:gridSpan w:val="2"/>
          </w:tcPr>
          <w:p w:rsidR="00A80D21" w:rsidRDefault="00A80D21" w:rsidP="003D3964">
            <w:pPr>
              <w:spacing w:line="360" w:lineRule="auto"/>
              <w:ind w:left="727"/>
              <w:rPr>
                <w:rFonts w:ascii="Calibri" w:hAnsi="Calibri" w:cs="Arial"/>
                <w:color w:val="2F5496" w:themeColor="accent5" w:themeShade="BF"/>
                <w:sz w:val="24"/>
                <w:szCs w:val="24"/>
              </w:rPr>
            </w:pPr>
          </w:p>
          <w:p w:rsidR="003D3964" w:rsidRDefault="003D3964" w:rsidP="003D3964">
            <w:pPr>
              <w:spacing w:line="360" w:lineRule="auto"/>
              <w:ind w:left="727"/>
              <w:rPr>
                <w:rFonts w:ascii="Calibri" w:hAnsi="Calibri" w:cs="Arial"/>
                <w:color w:val="2F5496" w:themeColor="accent5" w:themeShade="BF"/>
                <w:sz w:val="24"/>
                <w:szCs w:val="24"/>
              </w:rPr>
            </w:pPr>
            <w:r>
              <w:rPr>
                <w:rFonts w:ascii="Calibri" w:hAnsi="Calibri" w:cs="Arial"/>
                <w:color w:val="2F5496" w:themeColor="accent5" w:themeShade="BF"/>
                <w:sz w:val="24"/>
                <w:szCs w:val="24"/>
              </w:rPr>
              <w:t>Principles:</w:t>
            </w:r>
          </w:p>
          <w:p w:rsidR="003D3964" w:rsidRDefault="003D3964" w:rsidP="003D3964">
            <w:pPr>
              <w:spacing w:line="360" w:lineRule="auto"/>
              <w:ind w:left="727"/>
              <w:rPr>
                <w:rFonts w:ascii="Calibri" w:hAnsi="Calibri" w:cs="Arial"/>
                <w:color w:val="2F5496" w:themeColor="accent5" w:themeShade="BF"/>
                <w:sz w:val="24"/>
                <w:szCs w:val="24"/>
              </w:rPr>
            </w:pPr>
            <w:r>
              <w:rPr>
                <w:rFonts w:ascii="Calibri" w:hAnsi="Calibri" w:cs="Arial"/>
                <w:color w:val="2F5496" w:themeColor="accent5" w:themeShade="BF"/>
                <w:sz w:val="24"/>
                <w:szCs w:val="24"/>
              </w:rPr>
              <w:t xml:space="preserve">The shared principles of the London CIV established when the </w:t>
            </w:r>
            <w:r w:rsidR="009F15E9">
              <w:rPr>
                <w:rFonts w:ascii="Calibri" w:hAnsi="Calibri" w:cs="Arial"/>
                <w:color w:val="2F5496" w:themeColor="accent5" w:themeShade="BF"/>
                <w:sz w:val="24"/>
                <w:szCs w:val="24"/>
              </w:rPr>
              <w:t>London Local Authorities</w:t>
            </w:r>
            <w:r>
              <w:rPr>
                <w:rFonts w:ascii="Calibri" w:hAnsi="Calibri" w:cs="Arial"/>
                <w:color w:val="2F5496" w:themeColor="accent5" w:themeShade="BF"/>
                <w:sz w:val="24"/>
                <w:szCs w:val="24"/>
              </w:rPr>
              <w:t xml:space="preserve"> came together are</w:t>
            </w:r>
            <w:r w:rsidR="00FB4598">
              <w:rPr>
                <w:rFonts w:ascii="Calibri" w:hAnsi="Calibri" w:cs="Arial"/>
                <w:color w:val="2F5496" w:themeColor="accent5" w:themeShade="BF"/>
                <w:sz w:val="24"/>
                <w:szCs w:val="24"/>
              </w:rPr>
              <w:t xml:space="preserve"> unchanged despite the government’s more mandatory stance, namely</w:t>
            </w:r>
            <w:r>
              <w:rPr>
                <w:rFonts w:ascii="Calibri" w:hAnsi="Calibri" w:cs="Arial"/>
                <w:color w:val="2F5496" w:themeColor="accent5" w:themeShade="BF"/>
                <w:sz w:val="24"/>
                <w:szCs w:val="24"/>
              </w:rPr>
              <w:t>:</w:t>
            </w:r>
          </w:p>
          <w:p w:rsidR="003D3964" w:rsidRDefault="003D3964" w:rsidP="00092E30">
            <w:pPr>
              <w:pStyle w:val="ListParagraph"/>
              <w:numPr>
                <w:ilvl w:val="0"/>
                <w:numId w:val="36"/>
              </w:numPr>
              <w:spacing w:line="360" w:lineRule="auto"/>
              <w:rPr>
                <w:rFonts w:ascii="Calibri" w:hAnsi="Calibri" w:cs="Arial"/>
                <w:color w:val="2F5496" w:themeColor="accent5" w:themeShade="BF"/>
                <w:sz w:val="24"/>
                <w:szCs w:val="24"/>
              </w:rPr>
            </w:pPr>
            <w:r>
              <w:rPr>
                <w:rFonts w:ascii="Calibri" w:hAnsi="Calibri" w:cs="Arial"/>
                <w:color w:val="2F5496" w:themeColor="accent5" w:themeShade="BF"/>
                <w:sz w:val="24"/>
                <w:szCs w:val="24"/>
              </w:rPr>
              <w:t>Investment in the ACS should be voluntary, both entry and withdrawal (although it is recognised that the voluntary nature is now more constrained by the forthcoming investment regulations).</w:t>
            </w:r>
          </w:p>
          <w:p w:rsidR="003D3964" w:rsidRDefault="009F15E9" w:rsidP="00092E30">
            <w:pPr>
              <w:pStyle w:val="ListParagraph"/>
              <w:numPr>
                <w:ilvl w:val="0"/>
                <w:numId w:val="36"/>
              </w:numPr>
              <w:spacing w:line="360" w:lineRule="auto"/>
              <w:rPr>
                <w:rFonts w:ascii="Calibri" w:hAnsi="Calibri" w:cs="Arial"/>
                <w:color w:val="2F5496" w:themeColor="accent5" w:themeShade="BF"/>
                <w:sz w:val="24"/>
                <w:szCs w:val="24"/>
              </w:rPr>
            </w:pPr>
            <w:r>
              <w:rPr>
                <w:rFonts w:ascii="Calibri" w:hAnsi="Calibri" w:cs="Arial"/>
                <w:color w:val="2F5496" w:themeColor="accent5" w:themeShade="BF"/>
                <w:sz w:val="24"/>
                <w:szCs w:val="24"/>
              </w:rPr>
              <w:t>Authorities</w:t>
            </w:r>
            <w:r w:rsidR="003D3964">
              <w:rPr>
                <w:rFonts w:ascii="Calibri" w:hAnsi="Calibri" w:cs="Arial"/>
                <w:color w:val="2F5496" w:themeColor="accent5" w:themeShade="BF"/>
                <w:sz w:val="24"/>
                <w:szCs w:val="24"/>
              </w:rPr>
              <w:t xml:space="preserve"> choose which asset classes to invest into and how much.</w:t>
            </w:r>
          </w:p>
          <w:p w:rsidR="003D3964" w:rsidRDefault="009F15E9" w:rsidP="00092E30">
            <w:pPr>
              <w:pStyle w:val="ListParagraph"/>
              <w:numPr>
                <w:ilvl w:val="0"/>
                <w:numId w:val="36"/>
              </w:numPr>
              <w:spacing w:line="360" w:lineRule="auto"/>
              <w:rPr>
                <w:rFonts w:ascii="Calibri" w:hAnsi="Calibri" w:cs="Arial"/>
                <w:color w:val="2F5496" w:themeColor="accent5" w:themeShade="BF"/>
                <w:sz w:val="24"/>
                <w:szCs w:val="24"/>
              </w:rPr>
            </w:pPr>
            <w:r>
              <w:rPr>
                <w:rFonts w:ascii="Calibri" w:hAnsi="Calibri" w:cs="Arial"/>
                <w:color w:val="2F5496" w:themeColor="accent5" w:themeShade="BF"/>
                <w:sz w:val="24"/>
                <w:szCs w:val="24"/>
              </w:rPr>
              <w:t>Authorities</w:t>
            </w:r>
            <w:r w:rsidR="003D3964">
              <w:rPr>
                <w:rFonts w:ascii="Calibri" w:hAnsi="Calibri" w:cs="Arial"/>
                <w:color w:val="2F5496" w:themeColor="accent5" w:themeShade="BF"/>
                <w:sz w:val="24"/>
                <w:szCs w:val="24"/>
              </w:rPr>
              <w:t xml:space="preserve"> should have sufficient control over the ACS Operator</w:t>
            </w:r>
          </w:p>
          <w:p w:rsidR="003D3964" w:rsidRDefault="003D3964" w:rsidP="00092E30">
            <w:pPr>
              <w:pStyle w:val="ListParagraph"/>
              <w:numPr>
                <w:ilvl w:val="0"/>
                <w:numId w:val="36"/>
              </w:numPr>
              <w:spacing w:line="360" w:lineRule="auto"/>
              <w:rPr>
                <w:rFonts w:ascii="Calibri" w:hAnsi="Calibri" w:cs="Arial"/>
                <w:color w:val="2F5496" w:themeColor="accent5" w:themeShade="BF"/>
                <w:sz w:val="24"/>
                <w:szCs w:val="24"/>
              </w:rPr>
            </w:pPr>
            <w:r>
              <w:rPr>
                <w:rFonts w:ascii="Calibri" w:hAnsi="Calibri" w:cs="Arial"/>
                <w:color w:val="2F5496" w:themeColor="accent5" w:themeShade="BF"/>
                <w:sz w:val="24"/>
                <w:szCs w:val="24"/>
              </w:rPr>
              <w:t>Investing authorities will take a shareholding interest in the operator</w:t>
            </w:r>
          </w:p>
          <w:p w:rsidR="003D3964" w:rsidRDefault="003D3964" w:rsidP="00092E30">
            <w:pPr>
              <w:pStyle w:val="ListParagraph"/>
              <w:numPr>
                <w:ilvl w:val="0"/>
                <w:numId w:val="36"/>
              </w:numPr>
              <w:spacing w:line="360" w:lineRule="auto"/>
              <w:rPr>
                <w:rFonts w:ascii="Calibri" w:hAnsi="Calibri" w:cs="Arial"/>
                <w:color w:val="2F5496" w:themeColor="accent5" w:themeShade="BF"/>
                <w:sz w:val="24"/>
                <w:szCs w:val="24"/>
              </w:rPr>
            </w:pPr>
            <w:r>
              <w:rPr>
                <w:rFonts w:ascii="Calibri" w:hAnsi="Calibri" w:cs="Arial"/>
                <w:color w:val="2F5496" w:themeColor="accent5" w:themeShade="BF"/>
                <w:sz w:val="24"/>
                <w:szCs w:val="24"/>
              </w:rPr>
              <w:t>Shareholders will have membership of the Pensions Sectoral Joint Committee</w:t>
            </w:r>
          </w:p>
          <w:p w:rsidR="003D3964" w:rsidRDefault="003D3964" w:rsidP="00092E30">
            <w:pPr>
              <w:pStyle w:val="ListParagraph"/>
              <w:numPr>
                <w:ilvl w:val="0"/>
                <w:numId w:val="36"/>
              </w:numPr>
              <w:spacing w:line="360" w:lineRule="auto"/>
              <w:rPr>
                <w:rFonts w:ascii="Calibri" w:hAnsi="Calibri" w:cs="Arial"/>
                <w:color w:val="2F5496" w:themeColor="accent5" w:themeShade="BF"/>
                <w:sz w:val="24"/>
                <w:szCs w:val="24"/>
              </w:rPr>
            </w:pPr>
            <w:r>
              <w:rPr>
                <w:rFonts w:ascii="Calibri" w:hAnsi="Calibri" w:cs="Arial"/>
                <w:color w:val="2F5496" w:themeColor="accent5" w:themeShade="BF"/>
                <w:sz w:val="24"/>
                <w:szCs w:val="24"/>
              </w:rPr>
              <w:t xml:space="preserve">ACS Operator will provide regular information to participating </w:t>
            </w:r>
            <w:r w:rsidR="009F15E9">
              <w:rPr>
                <w:rFonts w:ascii="Calibri" w:hAnsi="Calibri" w:cs="Arial"/>
                <w:color w:val="2F5496" w:themeColor="accent5" w:themeShade="BF"/>
                <w:sz w:val="24"/>
                <w:szCs w:val="24"/>
              </w:rPr>
              <w:t>Authorities</w:t>
            </w:r>
          </w:p>
          <w:p w:rsidR="003D3964" w:rsidRPr="009028BA" w:rsidRDefault="003D3964" w:rsidP="00092E30">
            <w:pPr>
              <w:pStyle w:val="ListParagraph"/>
              <w:numPr>
                <w:ilvl w:val="0"/>
                <w:numId w:val="36"/>
              </w:numPr>
              <w:spacing w:line="360" w:lineRule="auto"/>
              <w:rPr>
                <w:rFonts w:ascii="Calibri" w:hAnsi="Calibri" w:cs="Arial"/>
                <w:color w:val="2F5496" w:themeColor="accent5" w:themeShade="BF"/>
                <w:sz w:val="24"/>
                <w:szCs w:val="24"/>
              </w:rPr>
            </w:pPr>
            <w:r>
              <w:rPr>
                <w:rFonts w:ascii="Calibri" w:hAnsi="Calibri" w:cs="Arial"/>
                <w:color w:val="2F5496" w:themeColor="accent5" w:themeShade="BF"/>
                <w:sz w:val="24"/>
                <w:szCs w:val="24"/>
              </w:rPr>
              <w:t xml:space="preserve">ACS will not increase the overall investment risk faced by the </w:t>
            </w:r>
            <w:r w:rsidR="009F15E9">
              <w:rPr>
                <w:rFonts w:ascii="Calibri" w:hAnsi="Calibri" w:cs="Arial"/>
                <w:color w:val="2F5496" w:themeColor="accent5" w:themeShade="BF"/>
                <w:sz w:val="24"/>
                <w:szCs w:val="24"/>
              </w:rPr>
              <w:t>Authorities</w:t>
            </w:r>
            <w:r>
              <w:rPr>
                <w:rFonts w:ascii="Calibri" w:hAnsi="Calibri" w:cs="Arial"/>
                <w:color w:val="2F5496" w:themeColor="accent5" w:themeShade="BF"/>
                <w:sz w:val="24"/>
                <w:szCs w:val="24"/>
              </w:rPr>
              <w:t>.</w:t>
            </w:r>
          </w:p>
          <w:p w:rsidR="00D4352C" w:rsidRPr="00432E20" w:rsidRDefault="00D4352C" w:rsidP="00D4352C">
            <w:pPr>
              <w:spacing w:line="360" w:lineRule="auto"/>
              <w:ind w:left="727"/>
              <w:rPr>
                <w:rFonts w:ascii="Calibri" w:hAnsi="Calibri" w:cs="Arial"/>
                <w:sz w:val="24"/>
                <w:szCs w:val="24"/>
              </w:rPr>
            </w:pPr>
          </w:p>
        </w:tc>
      </w:tr>
      <w:tr w:rsidR="00D4352C" w:rsidRPr="00432E20" w:rsidTr="00412637">
        <w:tc>
          <w:tcPr>
            <w:tcW w:w="9781" w:type="dxa"/>
            <w:gridSpan w:val="2"/>
          </w:tcPr>
          <w:p w:rsidR="00D4352C" w:rsidRPr="00432E20" w:rsidRDefault="00D4352C" w:rsidP="00092E30">
            <w:pPr>
              <w:pStyle w:val="ListParagraph"/>
              <w:numPr>
                <w:ilvl w:val="0"/>
                <w:numId w:val="12"/>
              </w:numPr>
              <w:spacing w:line="360" w:lineRule="auto"/>
              <w:rPr>
                <w:rFonts w:ascii="Calibri" w:hAnsi="Calibri" w:cs="Arial"/>
                <w:sz w:val="24"/>
                <w:szCs w:val="24"/>
              </w:rPr>
            </w:pPr>
            <w:r w:rsidRPr="00432E20">
              <w:rPr>
                <w:rFonts w:ascii="Calibri" w:hAnsi="Calibri" w:cs="Arial"/>
                <w:sz w:val="24"/>
                <w:szCs w:val="24"/>
              </w:rPr>
              <w:t xml:space="preserve">Please list and briefly describe any policies that will or have been agreed between the participating </w:t>
            </w:r>
            <w:r w:rsidR="00BB0E3C" w:rsidRPr="00432E20">
              <w:rPr>
                <w:rFonts w:ascii="Calibri" w:hAnsi="Calibri" w:cs="Arial"/>
                <w:sz w:val="24"/>
                <w:szCs w:val="24"/>
              </w:rPr>
              <w:t>authorities</w:t>
            </w:r>
            <w:r w:rsidR="00A562A0" w:rsidRPr="00432E20">
              <w:rPr>
                <w:rFonts w:ascii="Calibri" w:hAnsi="Calibri" w:cs="Arial"/>
                <w:sz w:val="24"/>
                <w:szCs w:val="24"/>
              </w:rPr>
              <w:t>.</w:t>
            </w:r>
          </w:p>
        </w:tc>
      </w:tr>
      <w:tr w:rsidR="00D4352C" w:rsidRPr="00432E20" w:rsidTr="00412637">
        <w:tc>
          <w:tcPr>
            <w:tcW w:w="9781" w:type="dxa"/>
            <w:gridSpan w:val="2"/>
          </w:tcPr>
          <w:p w:rsidR="003D3964" w:rsidRDefault="003D3964" w:rsidP="003D3964">
            <w:pPr>
              <w:spacing w:line="360" w:lineRule="auto"/>
              <w:ind w:left="727"/>
              <w:rPr>
                <w:rFonts w:ascii="Calibri" w:hAnsi="Calibri" w:cs="Arial"/>
                <w:sz w:val="24"/>
                <w:szCs w:val="24"/>
              </w:rPr>
            </w:pPr>
          </w:p>
          <w:p w:rsidR="003D3964" w:rsidRPr="009028BA" w:rsidRDefault="003D3964" w:rsidP="003D3964">
            <w:pPr>
              <w:spacing w:line="360" w:lineRule="auto"/>
              <w:ind w:left="727"/>
              <w:rPr>
                <w:rFonts w:ascii="Calibri" w:hAnsi="Calibri" w:cs="Arial"/>
                <w:color w:val="2F5496" w:themeColor="accent5" w:themeShade="BF"/>
                <w:sz w:val="24"/>
                <w:szCs w:val="24"/>
              </w:rPr>
            </w:pPr>
            <w:r w:rsidRPr="009028BA">
              <w:rPr>
                <w:rFonts w:ascii="Calibri" w:hAnsi="Calibri" w:cs="Arial"/>
                <w:color w:val="2F5496" w:themeColor="accent5" w:themeShade="BF"/>
                <w:sz w:val="24"/>
                <w:szCs w:val="24"/>
              </w:rPr>
              <w:t>Policies:</w:t>
            </w:r>
          </w:p>
          <w:p w:rsidR="003D3964" w:rsidRDefault="003D3964" w:rsidP="00092E30">
            <w:pPr>
              <w:pStyle w:val="ListParagraph"/>
              <w:numPr>
                <w:ilvl w:val="0"/>
                <w:numId w:val="37"/>
              </w:numPr>
              <w:spacing w:line="360" w:lineRule="auto"/>
              <w:ind w:left="1452" w:hanging="567"/>
              <w:rPr>
                <w:rFonts w:ascii="Calibri" w:hAnsi="Calibri" w:cs="Arial"/>
                <w:color w:val="2F5496" w:themeColor="accent5" w:themeShade="BF"/>
                <w:sz w:val="24"/>
                <w:szCs w:val="24"/>
              </w:rPr>
            </w:pPr>
            <w:r w:rsidRPr="00A70845">
              <w:rPr>
                <w:rFonts w:ascii="Calibri" w:hAnsi="Calibri" w:cs="Arial"/>
                <w:color w:val="2F5496" w:themeColor="accent5" w:themeShade="BF"/>
                <w:sz w:val="24"/>
                <w:szCs w:val="24"/>
              </w:rPr>
              <w:t>High level policy on responsible investment to include compliance statement with the Stewardship Code</w:t>
            </w:r>
          </w:p>
          <w:p w:rsidR="003D3964" w:rsidRDefault="00FB4598" w:rsidP="00092E30">
            <w:pPr>
              <w:pStyle w:val="ListParagraph"/>
              <w:numPr>
                <w:ilvl w:val="0"/>
                <w:numId w:val="37"/>
              </w:numPr>
              <w:spacing w:line="360" w:lineRule="auto"/>
              <w:ind w:left="1423" w:hanging="567"/>
              <w:rPr>
                <w:rFonts w:ascii="Calibri" w:hAnsi="Calibri" w:cs="Arial"/>
                <w:color w:val="2F5496" w:themeColor="accent5" w:themeShade="BF"/>
                <w:sz w:val="24"/>
                <w:szCs w:val="24"/>
              </w:rPr>
            </w:pPr>
            <w:r>
              <w:rPr>
                <w:rFonts w:ascii="Calibri" w:hAnsi="Calibri" w:cs="Arial"/>
                <w:color w:val="2F5496" w:themeColor="accent5" w:themeShade="BF"/>
                <w:sz w:val="24"/>
                <w:szCs w:val="24"/>
              </w:rPr>
              <w:t>Voting Policy</w:t>
            </w:r>
          </w:p>
          <w:p w:rsidR="003D3964" w:rsidRPr="00A70845" w:rsidRDefault="003D3964" w:rsidP="00092E30">
            <w:pPr>
              <w:pStyle w:val="ListParagraph"/>
              <w:numPr>
                <w:ilvl w:val="0"/>
                <w:numId w:val="37"/>
              </w:numPr>
              <w:spacing w:line="360" w:lineRule="auto"/>
              <w:ind w:left="1423" w:hanging="567"/>
              <w:rPr>
                <w:rFonts w:ascii="Calibri" w:hAnsi="Calibri" w:cs="Arial"/>
                <w:color w:val="2F5496" w:themeColor="accent5" w:themeShade="BF"/>
                <w:sz w:val="24"/>
                <w:szCs w:val="24"/>
              </w:rPr>
            </w:pPr>
            <w:r>
              <w:rPr>
                <w:rFonts w:ascii="Calibri" w:hAnsi="Calibri" w:cs="Arial"/>
                <w:color w:val="2F5496" w:themeColor="accent5" w:themeShade="BF"/>
                <w:sz w:val="24"/>
                <w:szCs w:val="24"/>
              </w:rPr>
              <w:t>The London CIV is working closely with other Pools to consider approaches to responsible investment and ESG issues can be addressed by the pools to ensure effective stewardship</w:t>
            </w:r>
          </w:p>
          <w:p w:rsidR="00D4352C" w:rsidRPr="00432E20" w:rsidRDefault="00D4352C" w:rsidP="00D4352C">
            <w:pPr>
              <w:spacing w:line="360" w:lineRule="auto"/>
              <w:ind w:left="727"/>
              <w:rPr>
                <w:rFonts w:ascii="Calibri" w:hAnsi="Calibri" w:cs="Arial"/>
                <w:sz w:val="24"/>
                <w:szCs w:val="24"/>
              </w:rPr>
            </w:pPr>
          </w:p>
        </w:tc>
      </w:tr>
      <w:tr w:rsidR="00D4352C" w:rsidRPr="00432E20" w:rsidTr="00412637">
        <w:tc>
          <w:tcPr>
            <w:tcW w:w="5954" w:type="dxa"/>
          </w:tcPr>
          <w:p w:rsidR="003D3964" w:rsidRPr="00FB4598" w:rsidRDefault="00D4352C" w:rsidP="003D3964">
            <w:pPr>
              <w:pStyle w:val="ListParagraph"/>
              <w:numPr>
                <w:ilvl w:val="0"/>
                <w:numId w:val="28"/>
              </w:numPr>
              <w:spacing w:line="360" w:lineRule="auto"/>
              <w:rPr>
                <w:rFonts w:ascii="Calibri" w:hAnsi="Calibri" w:cs="Arial"/>
                <w:sz w:val="24"/>
                <w:szCs w:val="24"/>
              </w:rPr>
            </w:pPr>
            <w:r w:rsidRPr="00432E20">
              <w:rPr>
                <w:rFonts w:ascii="Calibri" w:hAnsi="Calibri" w:cs="Arial"/>
                <w:sz w:val="24"/>
                <w:szCs w:val="24"/>
              </w:rPr>
              <w:t xml:space="preserve">If available please </w:t>
            </w:r>
            <w:r w:rsidR="009F0EAB" w:rsidRPr="00432E20">
              <w:rPr>
                <w:rFonts w:ascii="Calibri" w:hAnsi="Calibri" w:cs="Arial"/>
                <w:sz w:val="24"/>
                <w:szCs w:val="24"/>
              </w:rPr>
              <w:t xml:space="preserve">attach as an ANNEX </w:t>
            </w:r>
            <w:r w:rsidRPr="00432E20">
              <w:rPr>
                <w:rFonts w:ascii="Calibri" w:hAnsi="Calibri" w:cs="Arial"/>
                <w:sz w:val="24"/>
                <w:szCs w:val="24"/>
              </w:rPr>
              <w:t>any draft or agreed policies already in place</w:t>
            </w:r>
            <w:r w:rsidR="00A562A0" w:rsidRPr="00432E20">
              <w:rPr>
                <w:rFonts w:ascii="Calibri" w:hAnsi="Calibri" w:cs="Arial"/>
                <w:sz w:val="24"/>
                <w:szCs w:val="24"/>
              </w:rPr>
              <w:t>.</w:t>
            </w:r>
          </w:p>
        </w:tc>
        <w:tc>
          <w:tcPr>
            <w:tcW w:w="3827" w:type="dxa"/>
          </w:tcPr>
          <w:p w:rsidR="00D4352C" w:rsidRDefault="00D4352C" w:rsidP="00D4352C">
            <w:pPr>
              <w:spacing w:line="360" w:lineRule="auto"/>
              <w:rPr>
                <w:rFonts w:ascii="Calibri" w:hAnsi="Calibri" w:cs="Arial"/>
                <w:sz w:val="24"/>
                <w:szCs w:val="24"/>
              </w:rPr>
            </w:pPr>
            <w:r w:rsidRPr="00432E20">
              <w:rPr>
                <w:rFonts w:ascii="Calibri" w:hAnsi="Calibri" w:cs="Arial"/>
                <w:sz w:val="24"/>
                <w:szCs w:val="24"/>
              </w:rPr>
              <w:t>Attached as ANNEX number</w:t>
            </w:r>
          </w:p>
          <w:p w:rsidR="00FB4598" w:rsidRPr="00432E20" w:rsidRDefault="00FB4598" w:rsidP="00D4352C">
            <w:pPr>
              <w:spacing w:line="360" w:lineRule="auto"/>
              <w:rPr>
                <w:rFonts w:ascii="Calibri" w:hAnsi="Calibri" w:cs="Arial"/>
                <w:sz w:val="24"/>
                <w:szCs w:val="24"/>
              </w:rPr>
            </w:pPr>
            <w:r w:rsidRPr="00FB468B">
              <w:rPr>
                <w:rFonts w:ascii="Calibri" w:hAnsi="Calibri" w:cs="Arial"/>
                <w:color w:val="2F5496" w:themeColor="accent5" w:themeShade="BF"/>
                <w:sz w:val="24"/>
                <w:szCs w:val="24"/>
              </w:rPr>
              <w:t>PSJC report and minutes showing agreement to join LAPFF</w:t>
            </w:r>
          </w:p>
        </w:tc>
      </w:tr>
    </w:tbl>
    <w:p w:rsidR="00D4352C" w:rsidRPr="00432E20" w:rsidRDefault="00D4352C" w:rsidP="00F91A61">
      <w:pPr>
        <w:spacing w:after="0" w:line="360" w:lineRule="auto"/>
        <w:rPr>
          <w:rFonts w:ascii="Calibri" w:hAnsi="Calibri" w:cs="Arial"/>
          <w:sz w:val="24"/>
          <w:szCs w:val="24"/>
        </w:rPr>
      </w:pPr>
    </w:p>
    <w:tbl>
      <w:tblPr>
        <w:tblStyle w:val="TableGrid"/>
        <w:tblW w:w="9781" w:type="dxa"/>
        <w:tblInd w:w="-5" w:type="dxa"/>
        <w:tblLook w:val="04A0" w:firstRow="1" w:lastRow="0" w:firstColumn="1" w:lastColumn="0" w:noHBand="0" w:noVBand="1"/>
      </w:tblPr>
      <w:tblGrid>
        <w:gridCol w:w="5954"/>
        <w:gridCol w:w="3827"/>
      </w:tblGrid>
      <w:tr w:rsidR="00123396" w:rsidRPr="00432E20" w:rsidTr="00412637">
        <w:tc>
          <w:tcPr>
            <w:tcW w:w="9781" w:type="dxa"/>
            <w:gridSpan w:val="2"/>
            <w:shd w:val="clear" w:color="auto" w:fill="000000" w:themeFill="text1"/>
          </w:tcPr>
          <w:p w:rsidR="000D1196" w:rsidRPr="00432E20" w:rsidRDefault="000D1196" w:rsidP="00092E30">
            <w:pPr>
              <w:pStyle w:val="ListParagraph"/>
              <w:numPr>
                <w:ilvl w:val="0"/>
                <w:numId w:val="37"/>
              </w:numPr>
              <w:spacing w:line="360" w:lineRule="auto"/>
              <w:rPr>
                <w:rFonts w:ascii="Calibri" w:hAnsi="Calibri" w:cs="Arial"/>
                <w:b/>
                <w:color w:val="FFFFFF" w:themeColor="background1"/>
                <w:sz w:val="24"/>
                <w:szCs w:val="24"/>
              </w:rPr>
            </w:pPr>
            <w:r w:rsidRPr="00432E20">
              <w:rPr>
                <w:rFonts w:ascii="Calibri" w:hAnsi="Calibri" w:cs="Arial"/>
                <w:b/>
                <w:color w:val="FFFFFF" w:themeColor="background1"/>
                <w:sz w:val="24"/>
                <w:szCs w:val="24"/>
              </w:rPr>
              <w:t>The resources allocated to the running of the pool, including the governance budget, the number of staff needed and the skills and expertise required.</w:t>
            </w:r>
          </w:p>
        </w:tc>
      </w:tr>
      <w:tr w:rsidR="00DE17AA" w:rsidRPr="00432E20" w:rsidTr="00412637">
        <w:tc>
          <w:tcPr>
            <w:tcW w:w="5954" w:type="dxa"/>
          </w:tcPr>
          <w:p w:rsidR="00DE17AA" w:rsidRPr="003D3964" w:rsidRDefault="00DE17AA" w:rsidP="00092E30">
            <w:pPr>
              <w:pStyle w:val="ListParagraph"/>
              <w:numPr>
                <w:ilvl w:val="0"/>
                <w:numId w:val="13"/>
              </w:numPr>
              <w:spacing w:line="360" w:lineRule="auto"/>
              <w:rPr>
                <w:rFonts w:ascii="Calibri" w:hAnsi="Calibri" w:cs="Arial"/>
                <w:sz w:val="24"/>
                <w:szCs w:val="24"/>
              </w:rPr>
            </w:pPr>
            <w:r w:rsidRPr="00432E20">
              <w:rPr>
                <w:rFonts w:ascii="Calibri" w:hAnsi="Calibri" w:cs="Arial"/>
                <w:sz w:val="24"/>
                <w:szCs w:val="24"/>
              </w:rPr>
              <w:lastRenderedPageBreak/>
              <w:t xml:space="preserve">Please provide an estimate of the </w:t>
            </w:r>
            <w:r w:rsidR="003B54DF" w:rsidRPr="00432E20">
              <w:rPr>
                <w:rFonts w:ascii="Calibri" w:hAnsi="Calibri" w:cs="Arial"/>
                <w:sz w:val="24"/>
                <w:szCs w:val="24"/>
              </w:rPr>
              <w:t xml:space="preserve">operating costs </w:t>
            </w:r>
            <w:r w:rsidRPr="00432E20">
              <w:rPr>
                <w:rFonts w:ascii="Calibri" w:hAnsi="Calibri" w:cs="Arial"/>
                <w:sz w:val="24"/>
                <w:szCs w:val="24"/>
              </w:rPr>
              <w:t>of the pool</w:t>
            </w:r>
            <w:r w:rsidR="003B54DF" w:rsidRPr="00432E20">
              <w:rPr>
                <w:rFonts w:ascii="Calibri" w:hAnsi="Calibri" w:cs="Arial"/>
                <w:sz w:val="24"/>
                <w:szCs w:val="24"/>
              </w:rPr>
              <w:t xml:space="preserve"> (including governance and regulatory capital)</w:t>
            </w:r>
            <w:r w:rsidR="00DC03D4" w:rsidRPr="00432E20">
              <w:rPr>
                <w:rFonts w:ascii="Calibri" w:hAnsi="Calibri" w:cs="Arial"/>
                <w:sz w:val="24"/>
                <w:szCs w:val="24"/>
              </w:rPr>
              <w:t>,</w:t>
            </w:r>
            <w:r w:rsidRPr="00432E20">
              <w:rPr>
                <w:rFonts w:ascii="Calibri" w:hAnsi="Calibri" w:cs="Arial"/>
                <w:sz w:val="24"/>
                <w:szCs w:val="24"/>
              </w:rPr>
              <w:t xml:space="preserve"> split between implementation and ongoing. </w:t>
            </w:r>
            <w:r w:rsidR="00DC03D4" w:rsidRPr="00432E20">
              <w:rPr>
                <w:rFonts w:ascii="Calibri" w:hAnsi="Calibri" w:cs="Arial"/>
                <w:sz w:val="24"/>
                <w:szCs w:val="24"/>
              </w:rPr>
              <w:t xml:space="preserve"> </w:t>
            </w:r>
            <w:r w:rsidRPr="00432E20">
              <w:rPr>
                <w:rFonts w:ascii="Calibri" w:hAnsi="Calibri" w:cs="Arial"/>
                <w:sz w:val="24"/>
                <w:szCs w:val="24"/>
              </w:rPr>
              <w:t>Please list any assumptions made to arrive at that estimate</w:t>
            </w:r>
            <w:r w:rsidR="00EC527C" w:rsidRPr="00432E20">
              <w:rPr>
                <w:rFonts w:ascii="Calibri" w:hAnsi="Calibri" w:cs="Arial"/>
                <w:sz w:val="24"/>
                <w:szCs w:val="24"/>
              </w:rPr>
              <w:t xml:space="preserve">. </w:t>
            </w:r>
            <w:r w:rsidR="00DC03D4" w:rsidRPr="00432E20">
              <w:rPr>
                <w:rFonts w:ascii="Calibri" w:hAnsi="Calibri" w:cs="Arial"/>
                <w:sz w:val="24"/>
                <w:szCs w:val="24"/>
              </w:rPr>
              <w:t xml:space="preserve"> </w:t>
            </w:r>
            <w:r w:rsidR="00C272E5" w:rsidRPr="00432E20">
              <w:rPr>
                <w:rFonts w:ascii="Calibri" w:hAnsi="Calibri" w:cs="Arial"/>
                <w:sz w:val="24"/>
                <w:szCs w:val="24"/>
                <w:u w:val="single"/>
              </w:rPr>
              <w:t xml:space="preserve">Please include details of where new costs </w:t>
            </w:r>
            <w:r w:rsidR="00106ACC" w:rsidRPr="00432E20">
              <w:rPr>
                <w:rFonts w:ascii="Calibri" w:hAnsi="Calibri" w:cs="Arial"/>
                <w:sz w:val="24"/>
                <w:szCs w:val="24"/>
                <w:u w:val="single"/>
              </w:rPr>
              <w:t xml:space="preserve">are </w:t>
            </w:r>
            <w:r w:rsidR="00C272E5" w:rsidRPr="00432E20">
              <w:rPr>
                <w:rFonts w:ascii="Calibri" w:hAnsi="Calibri" w:cs="Arial"/>
                <w:sz w:val="24"/>
                <w:szCs w:val="24"/>
                <w:u w:val="single"/>
              </w:rPr>
              <w:t>off</w:t>
            </w:r>
            <w:r w:rsidR="00DC03D4" w:rsidRPr="00432E20">
              <w:rPr>
                <w:rFonts w:ascii="Calibri" w:hAnsi="Calibri" w:cs="Arial"/>
                <w:sz w:val="24"/>
                <w:szCs w:val="24"/>
                <w:u w:val="single"/>
              </w:rPr>
              <w:t>set</w:t>
            </w:r>
            <w:r w:rsidR="00C272E5" w:rsidRPr="00432E20">
              <w:rPr>
                <w:rFonts w:ascii="Calibri" w:hAnsi="Calibri" w:cs="Arial"/>
                <w:sz w:val="24"/>
                <w:szCs w:val="24"/>
                <w:u w:val="single"/>
              </w:rPr>
              <w:t xml:space="preserve"> by </w:t>
            </w:r>
            <w:r w:rsidR="00106ACC" w:rsidRPr="00432E20">
              <w:rPr>
                <w:rFonts w:ascii="Calibri" w:hAnsi="Calibri" w:cs="Arial"/>
                <w:sz w:val="24"/>
                <w:szCs w:val="24"/>
                <w:u w:val="single"/>
              </w:rPr>
              <w:t xml:space="preserve">reduced </w:t>
            </w:r>
            <w:r w:rsidR="00C272E5" w:rsidRPr="00432E20">
              <w:rPr>
                <w:rFonts w:ascii="Calibri" w:hAnsi="Calibri" w:cs="Arial"/>
                <w:sz w:val="24"/>
                <w:szCs w:val="24"/>
                <w:u w:val="single"/>
              </w:rPr>
              <w:t>existing costs.</w:t>
            </w:r>
          </w:p>
          <w:p w:rsidR="003D3964" w:rsidRPr="00141F6B" w:rsidRDefault="00202A2A" w:rsidP="003D3964">
            <w:pPr>
              <w:spacing w:line="360" w:lineRule="auto"/>
              <w:ind w:firstLine="1026"/>
              <w:rPr>
                <w:rFonts w:ascii="Calibri" w:hAnsi="Calibri" w:cs="Arial"/>
                <w:color w:val="FF0000"/>
                <w:sz w:val="24"/>
                <w:szCs w:val="24"/>
              </w:rPr>
            </w:pPr>
            <w:r>
              <w:rPr>
                <w:rFonts w:ascii="Calibri" w:hAnsi="Calibri" w:cs="Arial"/>
                <w:color w:val="FF0000"/>
                <w:sz w:val="24"/>
                <w:szCs w:val="24"/>
              </w:rPr>
              <w:t>Ongoing w</w:t>
            </w:r>
            <w:r w:rsidR="003D3964" w:rsidRPr="00141F6B">
              <w:rPr>
                <w:rFonts w:ascii="Calibri" w:hAnsi="Calibri" w:cs="Arial"/>
                <w:color w:val="FF0000"/>
                <w:sz w:val="24"/>
                <w:szCs w:val="24"/>
              </w:rPr>
              <w:t xml:space="preserve">ork in Progress </w:t>
            </w:r>
          </w:p>
          <w:p w:rsidR="003D3964" w:rsidRPr="003D3964" w:rsidRDefault="003D3964" w:rsidP="003D3964">
            <w:pPr>
              <w:spacing w:line="360" w:lineRule="auto"/>
              <w:rPr>
                <w:rFonts w:ascii="Calibri" w:hAnsi="Calibri" w:cs="Arial"/>
                <w:sz w:val="24"/>
                <w:szCs w:val="24"/>
              </w:rPr>
            </w:pPr>
          </w:p>
        </w:tc>
        <w:tc>
          <w:tcPr>
            <w:tcW w:w="3827" w:type="dxa"/>
          </w:tcPr>
          <w:p w:rsidR="00DE17AA" w:rsidRPr="00432E20" w:rsidRDefault="00DE17AA" w:rsidP="00DE17AA">
            <w:pPr>
              <w:spacing w:line="360" w:lineRule="auto"/>
              <w:ind w:left="727"/>
              <w:rPr>
                <w:rFonts w:ascii="Calibri" w:hAnsi="Calibri" w:cs="Arial"/>
                <w:sz w:val="24"/>
                <w:szCs w:val="24"/>
              </w:rPr>
            </w:pPr>
            <w:r w:rsidRPr="00432E20">
              <w:rPr>
                <w:rFonts w:ascii="Calibri" w:hAnsi="Calibri" w:cs="Arial"/>
                <w:sz w:val="24"/>
                <w:szCs w:val="24"/>
              </w:rPr>
              <w:t xml:space="preserve">Implementation costs </w:t>
            </w:r>
            <w:r w:rsidR="00647B58">
              <w:rPr>
                <w:rFonts w:ascii="Calibri" w:hAnsi="Calibri" w:cs="Arial"/>
                <w:sz w:val="24"/>
                <w:szCs w:val="24"/>
              </w:rPr>
              <w:t>TBC</w:t>
            </w:r>
            <w:r w:rsidR="00647B58" w:rsidRPr="00432E20">
              <w:rPr>
                <w:rFonts w:ascii="Calibri" w:hAnsi="Calibri" w:cs="Arial"/>
                <w:sz w:val="24"/>
                <w:szCs w:val="24"/>
              </w:rPr>
              <w:t xml:space="preserve"> </w:t>
            </w:r>
            <w:r w:rsidRPr="00432E20">
              <w:rPr>
                <w:rFonts w:ascii="Calibri" w:hAnsi="Calibri" w:cs="Arial"/>
                <w:sz w:val="24"/>
                <w:szCs w:val="24"/>
              </w:rPr>
              <w:t>£</w:t>
            </w:r>
            <w:r w:rsidR="00DA5ADB">
              <w:rPr>
                <w:rFonts w:ascii="Calibri" w:hAnsi="Calibri" w:cs="Arial"/>
                <w:sz w:val="24"/>
                <w:szCs w:val="24"/>
              </w:rPr>
              <w:t>1.7m</w:t>
            </w:r>
            <w:r w:rsidR="00406134">
              <w:rPr>
                <w:rFonts w:ascii="Calibri" w:hAnsi="Calibri" w:cs="Arial"/>
                <w:sz w:val="24"/>
                <w:szCs w:val="24"/>
              </w:rPr>
              <w:t xml:space="preserve"> </w:t>
            </w:r>
          </w:p>
          <w:p w:rsidR="00DE17AA" w:rsidRPr="00432E20" w:rsidRDefault="00DE17AA" w:rsidP="00FB468B">
            <w:pPr>
              <w:spacing w:line="360" w:lineRule="auto"/>
              <w:ind w:left="727"/>
              <w:rPr>
                <w:rFonts w:ascii="Calibri" w:hAnsi="Calibri" w:cs="Arial"/>
                <w:sz w:val="24"/>
                <w:szCs w:val="24"/>
              </w:rPr>
            </w:pPr>
            <w:r w:rsidRPr="00432E20">
              <w:rPr>
                <w:rFonts w:ascii="Calibri" w:hAnsi="Calibri" w:cs="Arial"/>
                <w:sz w:val="24"/>
                <w:szCs w:val="24"/>
              </w:rPr>
              <w:t xml:space="preserve">Ongoing costs </w:t>
            </w:r>
            <w:r w:rsidR="00FB468B">
              <w:rPr>
                <w:rFonts w:ascii="Calibri" w:hAnsi="Calibri" w:cs="Arial"/>
                <w:color w:val="FF0000"/>
                <w:sz w:val="24"/>
                <w:szCs w:val="24"/>
              </w:rPr>
              <w:t>Currently subject to review</w:t>
            </w:r>
          </w:p>
        </w:tc>
      </w:tr>
      <w:tr w:rsidR="00DE17AA" w:rsidRPr="00432E20" w:rsidTr="00412637">
        <w:tc>
          <w:tcPr>
            <w:tcW w:w="9781" w:type="dxa"/>
            <w:gridSpan w:val="2"/>
          </w:tcPr>
          <w:p w:rsidR="00DE17AA" w:rsidRDefault="00DE17AA" w:rsidP="00237ACD">
            <w:pPr>
              <w:spacing w:line="360" w:lineRule="auto"/>
              <w:ind w:left="727"/>
              <w:rPr>
                <w:rFonts w:ascii="Calibri" w:hAnsi="Calibri" w:cs="Arial"/>
                <w:sz w:val="24"/>
                <w:szCs w:val="24"/>
              </w:rPr>
            </w:pPr>
            <w:r w:rsidRPr="00432E20">
              <w:rPr>
                <w:rFonts w:ascii="Calibri" w:hAnsi="Calibri" w:cs="Arial"/>
                <w:sz w:val="24"/>
                <w:szCs w:val="24"/>
              </w:rPr>
              <w:t>Assumptions</w:t>
            </w:r>
            <w:r w:rsidR="003913D6">
              <w:rPr>
                <w:rFonts w:ascii="Calibri" w:hAnsi="Calibri" w:cs="Arial"/>
                <w:sz w:val="24"/>
                <w:szCs w:val="24"/>
              </w:rPr>
              <w:t>:</w:t>
            </w:r>
          </w:p>
          <w:p w:rsidR="00202A2A" w:rsidRPr="00202A2A" w:rsidRDefault="00202A2A" w:rsidP="00237ACD">
            <w:pPr>
              <w:spacing w:line="360" w:lineRule="auto"/>
              <w:ind w:left="727"/>
              <w:rPr>
                <w:rFonts w:ascii="Calibri" w:hAnsi="Calibri" w:cs="Arial"/>
                <w:b/>
                <w:color w:val="FF0000"/>
                <w:sz w:val="24"/>
                <w:szCs w:val="24"/>
              </w:rPr>
            </w:pPr>
            <w:r>
              <w:rPr>
                <w:rFonts w:ascii="Calibri" w:hAnsi="Calibri" w:cs="Arial"/>
                <w:b/>
                <w:color w:val="FF0000"/>
                <w:sz w:val="24"/>
                <w:szCs w:val="24"/>
              </w:rPr>
              <w:t xml:space="preserve">Please note that of necessity any forecasts have to be heavily caveated due to the fact that it will depend on the timing of assets being transferred, the ability to source and implement sub-funds, the complexity of the requirements for different assets classes including that of infrastructure. It also assumes that AUM will continue to grow steadily but this will be heavily dependent on market movements and also the structures for local government </w:t>
            </w:r>
            <w:r w:rsidR="00100036">
              <w:rPr>
                <w:rFonts w:ascii="Calibri" w:hAnsi="Calibri" w:cs="Arial"/>
                <w:b/>
                <w:color w:val="FF0000"/>
                <w:sz w:val="24"/>
                <w:szCs w:val="24"/>
              </w:rPr>
              <w:t>going forwards, how quickly individual funds become cashflow negative and also any future changes to the benefit and cost structure of the LGPS.</w:t>
            </w:r>
          </w:p>
          <w:p w:rsidR="003913D6" w:rsidRPr="00394270" w:rsidRDefault="00D826E5" w:rsidP="003913D6">
            <w:pPr>
              <w:pStyle w:val="ListParagraph"/>
              <w:numPr>
                <w:ilvl w:val="0"/>
                <w:numId w:val="37"/>
              </w:numPr>
              <w:spacing w:line="360" w:lineRule="auto"/>
              <w:ind w:left="1168" w:hanging="425"/>
              <w:rPr>
                <w:rFonts w:ascii="Calibri" w:hAnsi="Calibri" w:cs="Arial"/>
                <w:color w:val="0070C0"/>
                <w:sz w:val="24"/>
                <w:szCs w:val="24"/>
              </w:rPr>
            </w:pPr>
            <w:r w:rsidRPr="00394270">
              <w:rPr>
                <w:rFonts w:ascii="Calibri" w:hAnsi="Calibri" w:cs="Arial"/>
                <w:color w:val="0070C0"/>
                <w:sz w:val="24"/>
                <w:szCs w:val="24"/>
              </w:rPr>
              <w:t xml:space="preserve">As the CIV is now operational, the long term </w:t>
            </w:r>
            <w:r w:rsidR="00FB4598">
              <w:rPr>
                <w:rFonts w:ascii="Calibri" w:hAnsi="Calibri" w:cs="Arial"/>
                <w:color w:val="0070C0"/>
                <w:sz w:val="24"/>
                <w:szCs w:val="24"/>
              </w:rPr>
              <w:t xml:space="preserve">high level </w:t>
            </w:r>
            <w:r w:rsidRPr="00394270">
              <w:rPr>
                <w:rFonts w:ascii="Calibri" w:hAnsi="Calibri" w:cs="Arial"/>
                <w:color w:val="0070C0"/>
                <w:sz w:val="24"/>
                <w:szCs w:val="24"/>
              </w:rPr>
              <w:t>forecast budget is attached as an appendix</w:t>
            </w:r>
            <w:r w:rsidR="00FB468B">
              <w:rPr>
                <w:rFonts w:ascii="Calibri" w:hAnsi="Calibri" w:cs="Arial"/>
                <w:color w:val="0070C0"/>
                <w:sz w:val="24"/>
                <w:szCs w:val="24"/>
              </w:rPr>
              <w:t xml:space="preserve"> (to be confirmed) </w:t>
            </w:r>
          </w:p>
          <w:p w:rsidR="00D826E5" w:rsidRPr="00394270" w:rsidRDefault="00D826E5" w:rsidP="00D826E5">
            <w:pPr>
              <w:pStyle w:val="ListParagraph"/>
              <w:numPr>
                <w:ilvl w:val="0"/>
                <w:numId w:val="37"/>
              </w:numPr>
              <w:spacing w:line="360" w:lineRule="auto"/>
              <w:ind w:left="1168" w:hanging="425"/>
              <w:rPr>
                <w:rFonts w:ascii="Calibri" w:hAnsi="Calibri" w:cs="Arial"/>
                <w:color w:val="0070C0"/>
                <w:sz w:val="24"/>
                <w:szCs w:val="24"/>
              </w:rPr>
            </w:pPr>
            <w:r w:rsidRPr="00394270">
              <w:rPr>
                <w:rFonts w:ascii="Calibri" w:hAnsi="Calibri" w:cs="Arial"/>
                <w:color w:val="0070C0"/>
                <w:sz w:val="24"/>
                <w:szCs w:val="24"/>
              </w:rPr>
              <w:t>Assumes staffing levels remain constant</w:t>
            </w:r>
            <w:r w:rsidR="002E1FD8">
              <w:rPr>
                <w:rFonts w:ascii="Calibri" w:hAnsi="Calibri" w:cs="Arial"/>
                <w:color w:val="0070C0"/>
                <w:sz w:val="24"/>
                <w:szCs w:val="24"/>
              </w:rPr>
              <w:t xml:space="preserve">, </w:t>
            </w:r>
            <w:r w:rsidR="00D31F31">
              <w:rPr>
                <w:rFonts w:ascii="Calibri" w:hAnsi="Calibri" w:cs="Arial"/>
                <w:color w:val="0070C0"/>
                <w:sz w:val="24"/>
                <w:szCs w:val="24"/>
              </w:rPr>
              <w:t>but are currently being reviewed by the Company Board and participating local authorities.</w:t>
            </w:r>
          </w:p>
          <w:p w:rsidR="00202A2A" w:rsidRPr="00394270" w:rsidRDefault="00202A2A" w:rsidP="00202A2A">
            <w:pPr>
              <w:pStyle w:val="ListParagraph"/>
              <w:numPr>
                <w:ilvl w:val="0"/>
                <w:numId w:val="37"/>
              </w:numPr>
              <w:spacing w:line="360" w:lineRule="auto"/>
              <w:ind w:left="1168" w:hanging="425"/>
              <w:rPr>
                <w:rFonts w:ascii="Calibri" w:hAnsi="Calibri" w:cs="Arial"/>
                <w:color w:val="0070C0"/>
                <w:sz w:val="24"/>
                <w:szCs w:val="24"/>
              </w:rPr>
            </w:pPr>
            <w:r w:rsidRPr="00394270">
              <w:rPr>
                <w:rFonts w:ascii="Calibri" w:hAnsi="Calibri" w:cs="Arial"/>
                <w:color w:val="0070C0"/>
                <w:sz w:val="24"/>
                <w:szCs w:val="24"/>
              </w:rPr>
              <w:t>capital adequacy is based on either 25% of annual expenditure or 0.02% of AUM subject to a max of £10m whichever is the higher in line with regulatory requirements</w:t>
            </w:r>
          </w:p>
          <w:p w:rsidR="00100036" w:rsidRPr="00394270" w:rsidRDefault="00100036" w:rsidP="00202A2A">
            <w:pPr>
              <w:pStyle w:val="ListParagraph"/>
              <w:numPr>
                <w:ilvl w:val="0"/>
                <w:numId w:val="37"/>
              </w:numPr>
              <w:spacing w:line="360" w:lineRule="auto"/>
              <w:ind w:left="1168" w:hanging="425"/>
              <w:rPr>
                <w:rFonts w:ascii="Calibri" w:hAnsi="Calibri" w:cs="Arial"/>
                <w:color w:val="0070C0"/>
                <w:sz w:val="24"/>
                <w:szCs w:val="24"/>
              </w:rPr>
            </w:pPr>
            <w:r w:rsidRPr="00394270">
              <w:rPr>
                <w:rFonts w:ascii="Calibri" w:hAnsi="Calibri" w:cs="Arial"/>
                <w:color w:val="0070C0"/>
                <w:sz w:val="24"/>
                <w:szCs w:val="24"/>
              </w:rPr>
              <w:t xml:space="preserve">Reduced costs at a Borough level will come through in terms of resources allocated to managing investments and the relationships with individual managers. </w:t>
            </w:r>
            <w:r w:rsidR="00EC1A77" w:rsidRPr="00394270">
              <w:rPr>
                <w:rFonts w:ascii="Calibri" w:hAnsi="Calibri" w:cs="Arial"/>
                <w:color w:val="0070C0"/>
                <w:sz w:val="24"/>
                <w:szCs w:val="24"/>
              </w:rPr>
              <w:t>However, i</w:t>
            </w:r>
            <w:r w:rsidRPr="00394270">
              <w:rPr>
                <w:rFonts w:ascii="Calibri" w:hAnsi="Calibri" w:cs="Arial"/>
                <w:color w:val="0070C0"/>
                <w:sz w:val="24"/>
                <w:szCs w:val="24"/>
              </w:rPr>
              <w:t>n London, there are very limited numbers of staff dedicated solely to the function of</w:t>
            </w:r>
            <w:r w:rsidR="00EC1A77" w:rsidRPr="00394270">
              <w:rPr>
                <w:rFonts w:ascii="Calibri" w:hAnsi="Calibri" w:cs="Arial"/>
                <w:color w:val="0070C0"/>
                <w:sz w:val="24"/>
                <w:szCs w:val="24"/>
              </w:rPr>
              <w:t xml:space="preserve"> pension</w:t>
            </w:r>
            <w:r w:rsidRPr="00394270">
              <w:rPr>
                <w:rFonts w:ascii="Calibri" w:hAnsi="Calibri" w:cs="Arial"/>
                <w:color w:val="0070C0"/>
                <w:sz w:val="24"/>
                <w:szCs w:val="24"/>
              </w:rPr>
              <w:t xml:space="preserve"> investments, it usually forms part of an individual’s job role, estimated at 0.35 FTE for most authorities for this exercise, which could lead to 11 FTE’s over the course of pooling</w:t>
            </w:r>
            <w:r w:rsidR="004C181B" w:rsidRPr="00394270">
              <w:rPr>
                <w:rFonts w:ascii="Calibri" w:hAnsi="Calibri" w:cs="Arial"/>
                <w:color w:val="0070C0"/>
                <w:sz w:val="24"/>
                <w:szCs w:val="24"/>
              </w:rPr>
              <w:t xml:space="preserve"> (approximate saving of £660k p.a. based on a staff cost of £60k p.a.)</w:t>
            </w:r>
            <w:r w:rsidRPr="00394270">
              <w:rPr>
                <w:rFonts w:ascii="Calibri" w:hAnsi="Calibri" w:cs="Arial"/>
                <w:color w:val="0070C0"/>
                <w:sz w:val="24"/>
                <w:szCs w:val="24"/>
              </w:rPr>
              <w:t xml:space="preserve"> However, it should be noted that this is unlikely to follow through given additional regulatory requirements elsewhere, for example increased oversight requirements </w:t>
            </w:r>
            <w:r w:rsidRPr="00394270">
              <w:rPr>
                <w:rFonts w:ascii="Calibri" w:hAnsi="Calibri" w:cs="Arial"/>
                <w:color w:val="0070C0"/>
                <w:sz w:val="24"/>
                <w:szCs w:val="24"/>
              </w:rPr>
              <w:lastRenderedPageBreak/>
              <w:t>from Pensions Board and the Pensions Regulator.</w:t>
            </w:r>
          </w:p>
          <w:p w:rsidR="00100036" w:rsidRPr="00394270" w:rsidRDefault="00100036" w:rsidP="00202A2A">
            <w:pPr>
              <w:pStyle w:val="ListParagraph"/>
              <w:numPr>
                <w:ilvl w:val="0"/>
                <w:numId w:val="37"/>
              </w:numPr>
              <w:spacing w:line="360" w:lineRule="auto"/>
              <w:ind w:left="1168" w:hanging="425"/>
              <w:rPr>
                <w:rFonts w:ascii="Calibri" w:hAnsi="Calibri" w:cs="Arial"/>
                <w:color w:val="0070C0"/>
                <w:sz w:val="24"/>
                <w:szCs w:val="24"/>
              </w:rPr>
            </w:pPr>
            <w:r w:rsidRPr="00394270">
              <w:rPr>
                <w:rFonts w:ascii="Calibri" w:hAnsi="Calibri" w:cs="Arial"/>
                <w:color w:val="0070C0"/>
                <w:sz w:val="24"/>
                <w:szCs w:val="24"/>
              </w:rPr>
              <w:t>Reduced costs at a Borough level should also follow through from a reduction of investment manager searches at individual fund authorities as this will n</w:t>
            </w:r>
            <w:r w:rsidR="004C181B" w:rsidRPr="00394270">
              <w:rPr>
                <w:rFonts w:ascii="Calibri" w:hAnsi="Calibri" w:cs="Arial"/>
                <w:color w:val="0070C0"/>
                <w:sz w:val="24"/>
                <w:szCs w:val="24"/>
              </w:rPr>
              <w:t>ow be conducted at a pool level. It has been assumed that this will give rise to savings at a London-wide level in the region of £</w:t>
            </w:r>
            <w:r w:rsidR="00621380">
              <w:rPr>
                <w:rFonts w:ascii="Calibri" w:hAnsi="Calibri" w:cs="Arial"/>
                <w:color w:val="0070C0"/>
                <w:sz w:val="24"/>
                <w:szCs w:val="24"/>
              </w:rPr>
              <w:t>825</w:t>
            </w:r>
            <w:r w:rsidR="004C181B" w:rsidRPr="00394270">
              <w:rPr>
                <w:rFonts w:ascii="Calibri" w:hAnsi="Calibri" w:cs="Arial"/>
                <w:color w:val="0070C0"/>
                <w:sz w:val="24"/>
                <w:szCs w:val="24"/>
              </w:rPr>
              <w:t xml:space="preserve">k p.a. (based on a search costing £25k and approximately </w:t>
            </w:r>
            <w:r w:rsidR="00621380">
              <w:rPr>
                <w:rFonts w:ascii="Calibri" w:hAnsi="Calibri" w:cs="Arial"/>
                <w:color w:val="0070C0"/>
                <w:sz w:val="24"/>
                <w:szCs w:val="24"/>
              </w:rPr>
              <w:t xml:space="preserve">33 investment management searches being conducted on behalf of </w:t>
            </w:r>
            <w:r w:rsidR="004C181B" w:rsidRPr="00394270">
              <w:rPr>
                <w:rFonts w:ascii="Calibri" w:hAnsi="Calibri" w:cs="Arial"/>
                <w:color w:val="0070C0"/>
                <w:sz w:val="24"/>
                <w:szCs w:val="24"/>
              </w:rPr>
              <w:t>London funds each year</w:t>
            </w:r>
            <w:r w:rsidR="00621380">
              <w:rPr>
                <w:rFonts w:ascii="Calibri" w:hAnsi="Calibri" w:cs="Arial"/>
                <w:color w:val="0070C0"/>
                <w:sz w:val="24"/>
                <w:szCs w:val="24"/>
              </w:rPr>
              <w:t xml:space="preserve"> based on historic data</w:t>
            </w:r>
            <w:r w:rsidR="004C181B" w:rsidRPr="00394270">
              <w:rPr>
                <w:rFonts w:ascii="Calibri" w:hAnsi="Calibri" w:cs="Arial"/>
                <w:color w:val="0070C0"/>
                <w:sz w:val="24"/>
                <w:szCs w:val="24"/>
              </w:rPr>
              <w:t>)</w:t>
            </w:r>
          </w:p>
          <w:p w:rsidR="00202A2A" w:rsidRPr="003913D6" w:rsidRDefault="00202A2A" w:rsidP="00202A2A">
            <w:pPr>
              <w:pStyle w:val="ListParagraph"/>
              <w:spacing w:line="360" w:lineRule="auto"/>
              <w:ind w:left="1168"/>
              <w:rPr>
                <w:rFonts w:ascii="Calibri" w:hAnsi="Calibri" w:cs="Arial"/>
                <w:sz w:val="24"/>
                <w:szCs w:val="24"/>
              </w:rPr>
            </w:pPr>
          </w:p>
        </w:tc>
      </w:tr>
      <w:tr w:rsidR="001E51D9" w:rsidRPr="00432E20" w:rsidTr="00412637">
        <w:tc>
          <w:tcPr>
            <w:tcW w:w="9781" w:type="dxa"/>
            <w:gridSpan w:val="2"/>
          </w:tcPr>
          <w:p w:rsidR="001E51D9" w:rsidRDefault="001E51D9" w:rsidP="00DE17AA">
            <w:pPr>
              <w:spacing w:line="360" w:lineRule="auto"/>
              <w:ind w:left="727"/>
              <w:rPr>
                <w:rFonts w:ascii="Calibri" w:hAnsi="Calibri" w:cs="Arial"/>
                <w:sz w:val="24"/>
                <w:szCs w:val="24"/>
              </w:rPr>
            </w:pPr>
            <w:r w:rsidRPr="00432E20">
              <w:rPr>
                <w:rFonts w:ascii="Calibri" w:hAnsi="Calibri" w:cs="Arial"/>
                <w:sz w:val="24"/>
                <w:szCs w:val="24"/>
              </w:rPr>
              <w:lastRenderedPageBreak/>
              <w:t>Comments</w:t>
            </w:r>
          </w:p>
          <w:p w:rsidR="002722D7" w:rsidRPr="00394270" w:rsidRDefault="002722D7" w:rsidP="004C181B">
            <w:pPr>
              <w:pStyle w:val="ListParagraph"/>
              <w:numPr>
                <w:ilvl w:val="0"/>
                <w:numId w:val="39"/>
              </w:numPr>
              <w:spacing w:line="360" w:lineRule="auto"/>
              <w:rPr>
                <w:rFonts w:ascii="Calibri" w:hAnsi="Calibri" w:cs="Arial"/>
                <w:color w:val="0070C0"/>
                <w:sz w:val="24"/>
                <w:szCs w:val="24"/>
              </w:rPr>
            </w:pPr>
            <w:r w:rsidRPr="00394270">
              <w:rPr>
                <w:rFonts w:ascii="Calibri" w:hAnsi="Calibri" w:cs="Arial"/>
                <w:color w:val="0070C0"/>
                <w:sz w:val="24"/>
                <w:szCs w:val="24"/>
              </w:rPr>
              <w:t>The current forecasts assume no increase in staffing levels after 2017, however, it is recognised that this is unlikely to be the case given increase in AUM, servicing requirements to individual borough funds and the increased complexity of investment types including infrastructure and real assets.</w:t>
            </w:r>
          </w:p>
          <w:p w:rsidR="00202A2A" w:rsidRPr="00394270" w:rsidRDefault="00202A2A" w:rsidP="004C181B">
            <w:pPr>
              <w:pStyle w:val="ListParagraph"/>
              <w:numPr>
                <w:ilvl w:val="0"/>
                <w:numId w:val="39"/>
              </w:numPr>
              <w:spacing w:line="360" w:lineRule="auto"/>
              <w:rPr>
                <w:rFonts w:ascii="Calibri" w:hAnsi="Calibri" w:cs="Arial"/>
                <w:color w:val="0070C0"/>
                <w:sz w:val="24"/>
                <w:szCs w:val="24"/>
              </w:rPr>
            </w:pPr>
            <w:r w:rsidRPr="00394270">
              <w:rPr>
                <w:rFonts w:ascii="Calibri" w:hAnsi="Calibri" w:cs="Arial"/>
                <w:color w:val="0070C0"/>
                <w:sz w:val="24"/>
                <w:szCs w:val="24"/>
              </w:rPr>
              <w:t>Surplus funds can be used to support additional resource requirements going forwards.</w:t>
            </w:r>
          </w:p>
          <w:p w:rsidR="004C181B" w:rsidRPr="00394270" w:rsidRDefault="004C181B" w:rsidP="004C181B">
            <w:pPr>
              <w:pStyle w:val="ListParagraph"/>
              <w:numPr>
                <w:ilvl w:val="0"/>
                <w:numId w:val="39"/>
              </w:numPr>
              <w:spacing w:line="360" w:lineRule="auto"/>
              <w:rPr>
                <w:rFonts w:ascii="Calibri" w:hAnsi="Calibri" w:cs="Arial"/>
                <w:color w:val="0070C0"/>
                <w:sz w:val="24"/>
                <w:szCs w:val="24"/>
              </w:rPr>
            </w:pPr>
            <w:r w:rsidRPr="00394270">
              <w:rPr>
                <w:rFonts w:ascii="Calibri" w:hAnsi="Calibri" w:cs="Arial"/>
                <w:color w:val="0070C0"/>
                <w:sz w:val="24"/>
                <w:szCs w:val="24"/>
              </w:rPr>
              <w:t xml:space="preserve">Reduced costs at a Borough level will include reduced investment management fees, but this will also be dependent on the types of assets that </w:t>
            </w:r>
            <w:r w:rsidR="009F15E9">
              <w:rPr>
                <w:rFonts w:ascii="Calibri" w:hAnsi="Calibri" w:cs="Arial"/>
                <w:color w:val="0070C0"/>
                <w:sz w:val="24"/>
                <w:szCs w:val="24"/>
              </w:rPr>
              <w:t>Authorities</w:t>
            </w:r>
            <w:r w:rsidRPr="00394270">
              <w:rPr>
                <w:rFonts w:ascii="Calibri" w:hAnsi="Calibri" w:cs="Arial"/>
                <w:color w:val="0070C0"/>
                <w:sz w:val="24"/>
                <w:szCs w:val="24"/>
              </w:rPr>
              <w:t xml:space="preserve"> may choose to allocate to and in some instances could actually increase, e.g.  a move of assets from passive to infrastructure.</w:t>
            </w:r>
          </w:p>
          <w:p w:rsidR="004C181B" w:rsidRPr="002722D7" w:rsidRDefault="004C181B" w:rsidP="004C181B">
            <w:pPr>
              <w:pStyle w:val="ListParagraph"/>
              <w:spacing w:line="360" w:lineRule="auto"/>
              <w:ind w:left="1447"/>
              <w:rPr>
                <w:rFonts w:ascii="Calibri" w:hAnsi="Calibri" w:cs="Arial"/>
                <w:color w:val="FF0000"/>
                <w:sz w:val="24"/>
                <w:szCs w:val="24"/>
              </w:rPr>
            </w:pPr>
          </w:p>
        </w:tc>
      </w:tr>
      <w:tr w:rsidR="00DE17AA" w:rsidRPr="00432E20" w:rsidTr="00412637">
        <w:tc>
          <w:tcPr>
            <w:tcW w:w="5954" w:type="dxa"/>
          </w:tcPr>
          <w:p w:rsidR="00DE17AA" w:rsidRDefault="00DE17AA" w:rsidP="00092E30">
            <w:pPr>
              <w:pStyle w:val="ListParagraph"/>
              <w:numPr>
                <w:ilvl w:val="0"/>
                <w:numId w:val="13"/>
              </w:numPr>
              <w:spacing w:line="360" w:lineRule="auto"/>
              <w:rPr>
                <w:rFonts w:ascii="Calibri" w:hAnsi="Calibri" w:cs="Arial"/>
                <w:sz w:val="24"/>
                <w:szCs w:val="24"/>
              </w:rPr>
            </w:pPr>
            <w:r w:rsidRPr="00432E20">
              <w:rPr>
                <w:rFonts w:ascii="Calibri" w:hAnsi="Calibri" w:cs="Arial"/>
                <w:sz w:val="24"/>
                <w:szCs w:val="24"/>
              </w:rPr>
              <w:t>Please provide an estimate of the staff</w:t>
            </w:r>
            <w:r w:rsidR="002917FE" w:rsidRPr="00432E20">
              <w:rPr>
                <w:rFonts w:ascii="Calibri" w:hAnsi="Calibri" w:cs="Arial"/>
                <w:sz w:val="24"/>
                <w:szCs w:val="24"/>
              </w:rPr>
              <w:t xml:space="preserve"> numbers and the skills/expertise required</w:t>
            </w:r>
            <w:r w:rsidR="00DC03D4" w:rsidRPr="00432E20">
              <w:rPr>
                <w:rFonts w:ascii="Calibri" w:hAnsi="Calibri" w:cs="Arial"/>
                <w:sz w:val="24"/>
                <w:szCs w:val="24"/>
              </w:rPr>
              <w:t>,</w:t>
            </w:r>
            <w:r w:rsidRPr="00432E20">
              <w:rPr>
                <w:rFonts w:ascii="Calibri" w:hAnsi="Calibri" w:cs="Arial"/>
                <w:sz w:val="24"/>
                <w:szCs w:val="24"/>
              </w:rPr>
              <w:t xml:space="preserve"> split between implementation and ongoing. </w:t>
            </w:r>
            <w:r w:rsidR="00DC03D4" w:rsidRPr="00432E20">
              <w:rPr>
                <w:rFonts w:ascii="Calibri" w:hAnsi="Calibri" w:cs="Arial"/>
                <w:sz w:val="24"/>
                <w:szCs w:val="24"/>
              </w:rPr>
              <w:t xml:space="preserve"> </w:t>
            </w:r>
            <w:r w:rsidRPr="00432E20">
              <w:rPr>
                <w:rFonts w:ascii="Calibri" w:hAnsi="Calibri" w:cs="Arial"/>
                <w:sz w:val="24"/>
                <w:szCs w:val="24"/>
              </w:rPr>
              <w:t>Please state any assumptions made to arrive at that estimate</w:t>
            </w:r>
            <w:r w:rsidR="00EC527C" w:rsidRPr="00432E20">
              <w:rPr>
                <w:rFonts w:ascii="Calibri" w:hAnsi="Calibri" w:cs="Arial"/>
                <w:sz w:val="24"/>
                <w:szCs w:val="24"/>
              </w:rPr>
              <w:t>.</w:t>
            </w:r>
          </w:p>
          <w:p w:rsidR="003D3964" w:rsidRPr="008575DF" w:rsidRDefault="003D3964" w:rsidP="00EC1A77">
            <w:pPr>
              <w:pStyle w:val="ListParagraph"/>
              <w:spacing w:line="360" w:lineRule="auto"/>
              <w:ind w:left="1080"/>
              <w:rPr>
                <w:rFonts w:ascii="Calibri" w:hAnsi="Calibri" w:cs="Arial"/>
                <w:b/>
                <w:i/>
                <w:sz w:val="24"/>
                <w:szCs w:val="24"/>
              </w:rPr>
            </w:pPr>
            <w:r w:rsidRPr="008575DF">
              <w:rPr>
                <w:rFonts w:ascii="Calibri" w:hAnsi="Calibri" w:cs="Arial"/>
                <w:b/>
                <w:i/>
                <w:color w:val="FF0000"/>
                <w:sz w:val="24"/>
                <w:szCs w:val="24"/>
              </w:rPr>
              <w:t xml:space="preserve">Work in Progress </w:t>
            </w:r>
          </w:p>
        </w:tc>
        <w:tc>
          <w:tcPr>
            <w:tcW w:w="3827" w:type="dxa"/>
          </w:tcPr>
          <w:p w:rsidR="00DE17AA" w:rsidRPr="00432E20" w:rsidRDefault="00DE17AA" w:rsidP="00DE17AA">
            <w:pPr>
              <w:spacing w:line="360" w:lineRule="auto"/>
              <w:ind w:left="720"/>
              <w:rPr>
                <w:rFonts w:ascii="Calibri" w:hAnsi="Calibri" w:cs="Arial"/>
                <w:sz w:val="24"/>
                <w:szCs w:val="24"/>
              </w:rPr>
            </w:pPr>
          </w:p>
        </w:tc>
      </w:tr>
      <w:tr w:rsidR="00DE17AA" w:rsidRPr="00432E20" w:rsidTr="00412637">
        <w:tc>
          <w:tcPr>
            <w:tcW w:w="9781" w:type="dxa"/>
            <w:gridSpan w:val="2"/>
          </w:tcPr>
          <w:p w:rsidR="00DE17AA" w:rsidRDefault="00DE17AA" w:rsidP="00237ACD">
            <w:pPr>
              <w:spacing w:line="360" w:lineRule="auto"/>
              <w:ind w:left="727"/>
              <w:rPr>
                <w:rFonts w:ascii="Calibri" w:hAnsi="Calibri" w:cs="Arial"/>
                <w:sz w:val="24"/>
                <w:szCs w:val="24"/>
              </w:rPr>
            </w:pPr>
            <w:r w:rsidRPr="00432E20">
              <w:rPr>
                <w:rFonts w:ascii="Calibri" w:hAnsi="Calibri" w:cs="Arial"/>
                <w:sz w:val="24"/>
                <w:szCs w:val="24"/>
              </w:rPr>
              <w:t>Assumptions</w:t>
            </w:r>
          </w:p>
          <w:p w:rsidR="003913D6" w:rsidRPr="00394270" w:rsidRDefault="003913D6" w:rsidP="003913D6">
            <w:pPr>
              <w:pStyle w:val="ListParagraph"/>
              <w:numPr>
                <w:ilvl w:val="0"/>
                <w:numId w:val="37"/>
              </w:numPr>
              <w:spacing w:line="360" w:lineRule="auto"/>
              <w:ind w:left="1026" w:hanging="283"/>
              <w:rPr>
                <w:rFonts w:ascii="Calibri" w:hAnsi="Calibri" w:cs="Arial"/>
                <w:color w:val="0070C0"/>
                <w:sz w:val="24"/>
                <w:szCs w:val="24"/>
              </w:rPr>
            </w:pPr>
            <w:r w:rsidRPr="00394270">
              <w:rPr>
                <w:rFonts w:ascii="Calibri" w:hAnsi="Calibri" w:cs="Arial"/>
                <w:color w:val="0070C0"/>
                <w:sz w:val="24"/>
                <w:szCs w:val="24"/>
              </w:rPr>
              <w:t xml:space="preserve">Business plan currently assumes 12 Full Time staff – structure chart included as an annex – it is recognised that as assets under management increase and the complexity of those assets increases, there will be additional resourcing requirements which could see staffing at least double over the next </w:t>
            </w:r>
            <w:r w:rsidR="00EC1A77" w:rsidRPr="00394270">
              <w:rPr>
                <w:rFonts w:ascii="Calibri" w:hAnsi="Calibri" w:cs="Arial"/>
                <w:color w:val="0070C0"/>
                <w:sz w:val="24"/>
                <w:szCs w:val="24"/>
              </w:rPr>
              <w:t>few</w:t>
            </w:r>
            <w:r w:rsidRPr="00394270">
              <w:rPr>
                <w:rFonts w:ascii="Calibri" w:hAnsi="Calibri" w:cs="Arial"/>
                <w:color w:val="0070C0"/>
                <w:sz w:val="24"/>
                <w:szCs w:val="24"/>
              </w:rPr>
              <w:t xml:space="preserve"> years.</w:t>
            </w:r>
          </w:p>
          <w:p w:rsidR="003913D6" w:rsidRPr="00394270" w:rsidRDefault="00FB468B" w:rsidP="003913D6">
            <w:pPr>
              <w:pStyle w:val="ListParagraph"/>
              <w:numPr>
                <w:ilvl w:val="0"/>
                <w:numId w:val="37"/>
              </w:numPr>
              <w:spacing w:line="360" w:lineRule="auto"/>
              <w:ind w:left="1026" w:hanging="283"/>
              <w:rPr>
                <w:rFonts w:ascii="Calibri" w:hAnsi="Calibri" w:cs="Arial"/>
                <w:color w:val="0070C0"/>
                <w:sz w:val="24"/>
                <w:szCs w:val="24"/>
              </w:rPr>
            </w:pPr>
            <w:r w:rsidRPr="00394270">
              <w:rPr>
                <w:rFonts w:ascii="Calibri" w:hAnsi="Calibri" w:cs="Arial"/>
                <w:color w:val="0070C0"/>
                <w:sz w:val="24"/>
                <w:szCs w:val="24"/>
              </w:rPr>
              <w:lastRenderedPageBreak/>
              <w:t>Staffs in key roles are</w:t>
            </w:r>
            <w:r w:rsidR="00406134">
              <w:rPr>
                <w:rFonts w:ascii="Calibri" w:hAnsi="Calibri" w:cs="Arial"/>
                <w:color w:val="0070C0"/>
                <w:sz w:val="24"/>
                <w:szCs w:val="24"/>
              </w:rPr>
              <w:t xml:space="preserve"> required </w:t>
            </w:r>
            <w:r w:rsidR="003913D6" w:rsidRPr="00394270">
              <w:rPr>
                <w:rFonts w:ascii="Calibri" w:hAnsi="Calibri" w:cs="Arial"/>
                <w:color w:val="0070C0"/>
                <w:sz w:val="24"/>
                <w:szCs w:val="24"/>
              </w:rPr>
              <w:t>to have the requisite skills and expertise to be able to fulfil FCA regulated functions, e.g. CF1, CF3, CF10</w:t>
            </w:r>
            <w:r w:rsidR="00D0075F">
              <w:rPr>
                <w:rFonts w:ascii="Calibri" w:hAnsi="Calibri" w:cs="Arial"/>
                <w:color w:val="0070C0"/>
                <w:sz w:val="24"/>
                <w:szCs w:val="24"/>
              </w:rPr>
              <w:t>, CF11</w:t>
            </w:r>
            <w:r w:rsidR="003913D6" w:rsidRPr="00394270">
              <w:rPr>
                <w:rFonts w:ascii="Calibri" w:hAnsi="Calibri" w:cs="Arial"/>
                <w:color w:val="0070C0"/>
                <w:sz w:val="24"/>
                <w:szCs w:val="24"/>
              </w:rPr>
              <w:t xml:space="preserve"> and CF30. </w:t>
            </w:r>
          </w:p>
          <w:p w:rsidR="003913D6" w:rsidRPr="003913D6" w:rsidRDefault="003913D6" w:rsidP="008575DF">
            <w:pPr>
              <w:pStyle w:val="ListParagraph"/>
              <w:spacing w:line="360" w:lineRule="auto"/>
              <w:ind w:left="1026"/>
              <w:rPr>
                <w:rFonts w:ascii="Calibri" w:hAnsi="Calibri" w:cs="Arial"/>
                <w:color w:val="FF0000"/>
                <w:sz w:val="24"/>
                <w:szCs w:val="24"/>
              </w:rPr>
            </w:pPr>
          </w:p>
        </w:tc>
      </w:tr>
      <w:tr w:rsidR="001E51D9" w:rsidRPr="00432E20" w:rsidTr="00A56BCB">
        <w:trPr>
          <w:trHeight w:val="565"/>
        </w:trPr>
        <w:tc>
          <w:tcPr>
            <w:tcW w:w="9781" w:type="dxa"/>
            <w:gridSpan w:val="2"/>
          </w:tcPr>
          <w:p w:rsidR="001E51D9" w:rsidRDefault="001E51D9" w:rsidP="00184D77">
            <w:pPr>
              <w:spacing w:line="360" w:lineRule="auto"/>
              <w:ind w:left="727"/>
              <w:rPr>
                <w:rFonts w:ascii="Calibri" w:hAnsi="Calibri" w:cs="Arial"/>
                <w:sz w:val="24"/>
                <w:szCs w:val="24"/>
              </w:rPr>
            </w:pPr>
            <w:r w:rsidRPr="00432E20">
              <w:rPr>
                <w:rFonts w:ascii="Calibri" w:hAnsi="Calibri" w:cs="Arial"/>
                <w:sz w:val="24"/>
                <w:szCs w:val="24"/>
              </w:rPr>
              <w:lastRenderedPageBreak/>
              <w:t>Comments</w:t>
            </w:r>
          </w:p>
          <w:p w:rsidR="00EC1A77" w:rsidRPr="00394270" w:rsidRDefault="004C181B" w:rsidP="00EC1A77">
            <w:pPr>
              <w:pStyle w:val="ListParagraph"/>
              <w:numPr>
                <w:ilvl w:val="0"/>
                <w:numId w:val="40"/>
              </w:numPr>
              <w:spacing w:line="360" w:lineRule="auto"/>
              <w:rPr>
                <w:rFonts w:ascii="Calibri" w:hAnsi="Calibri" w:cs="Arial"/>
                <w:color w:val="0070C0"/>
                <w:sz w:val="24"/>
                <w:szCs w:val="24"/>
              </w:rPr>
            </w:pPr>
            <w:r w:rsidRPr="00394270">
              <w:rPr>
                <w:rFonts w:ascii="Calibri" w:hAnsi="Calibri" w:cs="Arial"/>
                <w:color w:val="0070C0"/>
                <w:sz w:val="24"/>
                <w:szCs w:val="24"/>
              </w:rPr>
              <w:t>With the London C</w:t>
            </w:r>
            <w:r w:rsidR="00EC1A77" w:rsidRPr="00394270">
              <w:rPr>
                <w:rFonts w:ascii="Calibri" w:hAnsi="Calibri" w:cs="Arial"/>
                <w:color w:val="0070C0"/>
                <w:sz w:val="24"/>
                <w:szCs w:val="24"/>
              </w:rPr>
              <w:t xml:space="preserve">IV having been established and transition of assets underway, it is more a case of business as usual going forwards, </w:t>
            </w:r>
            <w:r w:rsidR="00621380">
              <w:rPr>
                <w:rFonts w:ascii="Calibri" w:hAnsi="Calibri" w:cs="Arial"/>
                <w:color w:val="0070C0"/>
                <w:sz w:val="24"/>
                <w:szCs w:val="24"/>
              </w:rPr>
              <w:t>although</w:t>
            </w:r>
            <w:r w:rsidR="008575DF">
              <w:rPr>
                <w:rFonts w:ascii="Calibri" w:hAnsi="Calibri" w:cs="Arial"/>
                <w:color w:val="0070C0"/>
                <w:sz w:val="24"/>
                <w:szCs w:val="24"/>
              </w:rPr>
              <w:t xml:space="preserve"> </w:t>
            </w:r>
            <w:r w:rsidR="00EC1A77" w:rsidRPr="00394270">
              <w:rPr>
                <w:rFonts w:ascii="Calibri" w:hAnsi="Calibri" w:cs="Arial"/>
                <w:color w:val="0070C0"/>
                <w:sz w:val="24"/>
                <w:szCs w:val="24"/>
              </w:rPr>
              <w:t xml:space="preserve">there will be additional implementation costs in the next 2-3 years. </w:t>
            </w:r>
          </w:p>
          <w:p w:rsidR="00EC1A77" w:rsidRPr="00394270" w:rsidRDefault="00EC1A77" w:rsidP="00EC1A77">
            <w:pPr>
              <w:pStyle w:val="ListParagraph"/>
              <w:numPr>
                <w:ilvl w:val="0"/>
                <w:numId w:val="40"/>
              </w:numPr>
              <w:spacing w:line="360" w:lineRule="auto"/>
              <w:rPr>
                <w:rFonts w:ascii="Calibri" w:hAnsi="Calibri" w:cs="Arial"/>
                <w:color w:val="0070C0"/>
                <w:sz w:val="24"/>
                <w:szCs w:val="24"/>
              </w:rPr>
            </w:pPr>
            <w:r w:rsidRPr="00394270">
              <w:rPr>
                <w:rFonts w:ascii="Calibri" w:hAnsi="Calibri" w:cs="Arial"/>
                <w:color w:val="0070C0"/>
                <w:sz w:val="24"/>
                <w:szCs w:val="24"/>
              </w:rPr>
              <w:t xml:space="preserve">However, it is likely that going forwards any release of resource from implementation will transfer to other areas and to ensure that switching of asset allocation and investment strategy by the London Funds is carried through in a timely efficient manner. </w:t>
            </w:r>
          </w:p>
          <w:p w:rsidR="004C181B" w:rsidRPr="004C181B" w:rsidRDefault="00EC1A77" w:rsidP="00EC1A77">
            <w:pPr>
              <w:pStyle w:val="ListParagraph"/>
              <w:numPr>
                <w:ilvl w:val="0"/>
                <w:numId w:val="40"/>
              </w:numPr>
              <w:spacing w:line="360" w:lineRule="auto"/>
              <w:rPr>
                <w:rFonts w:ascii="Calibri" w:hAnsi="Calibri" w:cs="Arial"/>
                <w:color w:val="FF0000"/>
                <w:sz w:val="24"/>
                <w:szCs w:val="24"/>
              </w:rPr>
            </w:pPr>
            <w:r w:rsidRPr="00394270">
              <w:rPr>
                <w:rFonts w:ascii="Calibri" w:hAnsi="Calibri" w:cs="Arial"/>
                <w:color w:val="0070C0"/>
                <w:sz w:val="24"/>
                <w:szCs w:val="24"/>
              </w:rPr>
              <w:t>In addition the ongoing monitoring of both existing managers and potential new managers and investment opportunities, means that going forwards</w:t>
            </w:r>
            <w:r w:rsidR="00394270" w:rsidRPr="00394270">
              <w:rPr>
                <w:rFonts w:ascii="Calibri" w:hAnsi="Calibri" w:cs="Arial"/>
                <w:color w:val="0070C0"/>
                <w:sz w:val="24"/>
                <w:szCs w:val="24"/>
              </w:rPr>
              <w:t xml:space="preserve"> the addition and removal managers will still require resources to undertake strategic implementation decision. </w:t>
            </w:r>
          </w:p>
        </w:tc>
      </w:tr>
    </w:tbl>
    <w:p w:rsidR="009F0EAB" w:rsidRPr="00432E20" w:rsidRDefault="009F0EAB" w:rsidP="00A56BCB">
      <w:pPr>
        <w:spacing w:after="0" w:line="360" w:lineRule="auto"/>
        <w:rPr>
          <w:rFonts w:ascii="Calibri" w:hAnsi="Calibri" w:cs="Arial"/>
          <w:sz w:val="24"/>
          <w:szCs w:val="24"/>
        </w:rPr>
      </w:pPr>
    </w:p>
    <w:tbl>
      <w:tblPr>
        <w:tblStyle w:val="TableGrid"/>
        <w:tblW w:w="0" w:type="auto"/>
        <w:tblInd w:w="-5" w:type="dxa"/>
        <w:tblLook w:val="04A0" w:firstRow="1" w:lastRow="0" w:firstColumn="1" w:lastColumn="0" w:noHBand="0" w:noVBand="1"/>
      </w:tblPr>
      <w:tblGrid>
        <w:gridCol w:w="5954"/>
        <w:gridCol w:w="3787"/>
      </w:tblGrid>
      <w:tr w:rsidR="00123396" w:rsidRPr="00432E20" w:rsidTr="00412637">
        <w:tc>
          <w:tcPr>
            <w:tcW w:w="9741" w:type="dxa"/>
            <w:gridSpan w:val="2"/>
            <w:shd w:val="clear" w:color="auto" w:fill="000000" w:themeFill="text1"/>
          </w:tcPr>
          <w:p w:rsidR="002604D2" w:rsidRPr="00432E20" w:rsidRDefault="001E51D9" w:rsidP="00092E30">
            <w:pPr>
              <w:pStyle w:val="ListParagraph"/>
              <w:numPr>
                <w:ilvl w:val="0"/>
                <w:numId w:val="37"/>
              </w:numPr>
              <w:spacing w:line="360" w:lineRule="auto"/>
              <w:rPr>
                <w:rFonts w:ascii="Calibri" w:hAnsi="Calibri" w:cs="Arial"/>
                <w:b/>
                <w:color w:val="FFFFFF" w:themeColor="background1"/>
                <w:sz w:val="24"/>
                <w:szCs w:val="24"/>
              </w:rPr>
            </w:pPr>
            <w:r w:rsidRPr="00432E20">
              <w:rPr>
                <w:rFonts w:ascii="Calibri" w:hAnsi="Calibri" w:cs="Arial"/>
                <w:b/>
                <w:color w:val="FFFFFF" w:themeColor="background1"/>
                <w:sz w:val="24"/>
                <w:szCs w:val="24"/>
              </w:rPr>
              <w:t xml:space="preserve">How any </w:t>
            </w:r>
            <w:r w:rsidR="00FE26E8" w:rsidRPr="00432E20">
              <w:rPr>
                <w:rFonts w:ascii="Calibri" w:hAnsi="Calibri" w:cs="Arial"/>
                <w:b/>
                <w:color w:val="FFFFFF" w:themeColor="background1"/>
                <w:sz w:val="24"/>
                <w:szCs w:val="24"/>
              </w:rPr>
              <w:t xml:space="preserve">environmental, social and corporate governance </w:t>
            </w:r>
            <w:r w:rsidRPr="00432E20">
              <w:rPr>
                <w:rFonts w:ascii="Calibri" w:hAnsi="Calibri" w:cs="Arial"/>
                <w:b/>
                <w:color w:val="FFFFFF" w:themeColor="background1"/>
                <w:sz w:val="24"/>
                <w:szCs w:val="24"/>
              </w:rPr>
              <w:t>policies will be handled by the pool. How the authorities will act as responsible, long term investors through the pool, including how the pool will determine and enact stewardship responsibilities</w:t>
            </w:r>
            <w:r w:rsidR="00A562A0" w:rsidRPr="00432E20">
              <w:rPr>
                <w:rFonts w:ascii="Calibri" w:hAnsi="Calibri" w:cs="Arial"/>
                <w:b/>
                <w:color w:val="FFFFFF" w:themeColor="background1"/>
                <w:sz w:val="24"/>
                <w:szCs w:val="24"/>
              </w:rPr>
              <w:t>.</w:t>
            </w:r>
          </w:p>
        </w:tc>
      </w:tr>
      <w:tr w:rsidR="002604D2" w:rsidRPr="00432E20" w:rsidTr="00412637">
        <w:tc>
          <w:tcPr>
            <w:tcW w:w="9741" w:type="dxa"/>
            <w:gridSpan w:val="2"/>
          </w:tcPr>
          <w:p w:rsidR="002604D2" w:rsidRPr="00432E20" w:rsidRDefault="002604D2" w:rsidP="00092E30">
            <w:pPr>
              <w:pStyle w:val="ListParagraph"/>
              <w:numPr>
                <w:ilvl w:val="0"/>
                <w:numId w:val="14"/>
              </w:numPr>
              <w:spacing w:line="360" w:lineRule="auto"/>
              <w:rPr>
                <w:rFonts w:ascii="Calibri" w:hAnsi="Calibri" w:cs="Arial"/>
                <w:sz w:val="24"/>
                <w:szCs w:val="24"/>
              </w:rPr>
            </w:pPr>
            <w:r w:rsidRPr="00432E20">
              <w:rPr>
                <w:rFonts w:ascii="Calibri" w:hAnsi="Calibri" w:cs="Arial"/>
                <w:sz w:val="24"/>
                <w:szCs w:val="24"/>
              </w:rPr>
              <w:t>Please confirm there will be a written</w:t>
            </w:r>
            <w:r w:rsidR="00ED48CF" w:rsidRPr="00432E20">
              <w:rPr>
                <w:rFonts w:ascii="Calibri" w:hAnsi="Calibri" w:cs="Arial"/>
                <w:sz w:val="24"/>
                <w:szCs w:val="24"/>
              </w:rPr>
              <w:t xml:space="preserve"> </w:t>
            </w:r>
            <w:r w:rsidR="00DC03D4" w:rsidRPr="00432E20">
              <w:rPr>
                <w:rFonts w:ascii="Calibri" w:hAnsi="Calibri" w:cs="Arial"/>
                <w:sz w:val="24"/>
                <w:szCs w:val="24"/>
              </w:rPr>
              <w:t xml:space="preserve">responsible investment </w:t>
            </w:r>
            <w:r w:rsidRPr="00432E20">
              <w:rPr>
                <w:rFonts w:ascii="Calibri" w:hAnsi="Calibri" w:cs="Arial"/>
                <w:sz w:val="24"/>
                <w:szCs w:val="24"/>
              </w:rPr>
              <w:t>policy at the pool level</w:t>
            </w:r>
            <w:r w:rsidR="0031365D" w:rsidRPr="00432E20">
              <w:rPr>
                <w:rFonts w:ascii="Calibri" w:hAnsi="Calibri" w:cs="Arial"/>
                <w:sz w:val="24"/>
                <w:szCs w:val="24"/>
              </w:rPr>
              <w:t xml:space="preserve"> in place </w:t>
            </w:r>
            <w:r w:rsidR="00F438FD" w:rsidRPr="00432E20">
              <w:rPr>
                <w:rFonts w:ascii="Calibri" w:hAnsi="Calibri" w:cs="Arial"/>
                <w:sz w:val="24"/>
                <w:szCs w:val="24"/>
              </w:rPr>
              <w:t xml:space="preserve">by </w:t>
            </w:r>
            <w:r w:rsidR="00970A3A" w:rsidRPr="00432E20">
              <w:rPr>
                <w:rFonts w:ascii="Calibri" w:hAnsi="Calibri" w:cs="Arial"/>
                <w:sz w:val="24"/>
                <w:szCs w:val="24"/>
              </w:rPr>
              <w:t>01.4.</w:t>
            </w:r>
            <w:r w:rsidR="00F438FD" w:rsidRPr="00432E20">
              <w:rPr>
                <w:rFonts w:ascii="Calibri" w:hAnsi="Calibri" w:cs="Arial"/>
                <w:sz w:val="24"/>
                <w:szCs w:val="24"/>
              </w:rPr>
              <w:t>2018</w:t>
            </w:r>
            <w:r w:rsidR="00A562A0" w:rsidRPr="00432E20">
              <w:rPr>
                <w:rFonts w:ascii="Calibri" w:hAnsi="Calibri" w:cs="Arial"/>
                <w:sz w:val="24"/>
                <w:szCs w:val="24"/>
              </w:rPr>
              <w:t>.</w:t>
            </w:r>
          </w:p>
        </w:tc>
      </w:tr>
      <w:tr w:rsidR="002604D2" w:rsidRPr="00432E20" w:rsidTr="00412637">
        <w:tc>
          <w:tcPr>
            <w:tcW w:w="5954" w:type="dxa"/>
          </w:tcPr>
          <w:p w:rsidR="002604D2" w:rsidRPr="00432E20" w:rsidRDefault="002604D2" w:rsidP="002604D2">
            <w:pPr>
              <w:spacing w:line="360" w:lineRule="auto"/>
              <w:ind w:left="727"/>
              <w:rPr>
                <w:rFonts w:ascii="Calibri" w:hAnsi="Calibri" w:cs="Arial"/>
                <w:sz w:val="24"/>
                <w:szCs w:val="24"/>
              </w:rPr>
            </w:pPr>
            <w:r w:rsidRPr="00432E20">
              <w:rPr>
                <w:rFonts w:ascii="Calibri" w:hAnsi="Calibri" w:cs="Arial"/>
                <w:sz w:val="24"/>
                <w:szCs w:val="24"/>
              </w:rPr>
              <w:t>Confirmed</w:t>
            </w:r>
            <w:r w:rsidRPr="003D3964">
              <w:rPr>
                <w:rFonts w:ascii="Calibri" w:hAnsi="Calibri" w:cs="Arial"/>
                <w:color w:val="0070C0"/>
                <w:sz w:val="24"/>
                <w:szCs w:val="24"/>
              </w:rPr>
              <w:t xml:space="preserve"> YES</w:t>
            </w:r>
          </w:p>
          <w:p w:rsidR="002604D2" w:rsidRPr="00432E20" w:rsidRDefault="002604D2" w:rsidP="00DC03D4">
            <w:pPr>
              <w:spacing w:line="360" w:lineRule="auto"/>
              <w:ind w:left="727"/>
              <w:rPr>
                <w:rFonts w:ascii="Calibri" w:hAnsi="Calibri" w:cs="Arial"/>
                <w:sz w:val="24"/>
                <w:szCs w:val="24"/>
              </w:rPr>
            </w:pPr>
            <w:r w:rsidRPr="00432E20">
              <w:rPr>
                <w:rFonts w:ascii="Calibri" w:hAnsi="Calibri" w:cs="Arial"/>
                <w:sz w:val="24"/>
                <w:szCs w:val="24"/>
              </w:rPr>
              <w:t xml:space="preserve">If no please attach an ANNEX setting out how the pool will handle </w:t>
            </w:r>
            <w:r w:rsidR="00DC03D4" w:rsidRPr="00432E20">
              <w:rPr>
                <w:rFonts w:ascii="Calibri" w:hAnsi="Calibri" w:cs="Arial"/>
                <w:sz w:val="24"/>
                <w:szCs w:val="24"/>
              </w:rPr>
              <w:t xml:space="preserve">responsible investment </w:t>
            </w:r>
            <w:r w:rsidRPr="00432E20">
              <w:rPr>
                <w:rFonts w:ascii="Calibri" w:hAnsi="Calibri" w:cs="Arial"/>
                <w:sz w:val="24"/>
                <w:szCs w:val="24"/>
              </w:rPr>
              <w:t xml:space="preserve">and stewardship </w:t>
            </w:r>
            <w:r w:rsidR="00DC03D4" w:rsidRPr="00432E20">
              <w:rPr>
                <w:rFonts w:ascii="Calibri" w:hAnsi="Calibri" w:cs="Arial"/>
                <w:sz w:val="24"/>
                <w:szCs w:val="24"/>
              </w:rPr>
              <w:t xml:space="preserve">obligations, </w:t>
            </w:r>
            <w:r w:rsidR="001E51D9" w:rsidRPr="00432E20">
              <w:rPr>
                <w:rFonts w:ascii="Calibri" w:hAnsi="Calibri" w:cs="Arial"/>
                <w:sz w:val="24"/>
                <w:szCs w:val="24"/>
              </w:rPr>
              <w:t xml:space="preserve">including consideration of </w:t>
            </w:r>
            <w:r w:rsidR="00DC03D4" w:rsidRPr="00432E20">
              <w:rPr>
                <w:rFonts w:ascii="Calibri" w:hAnsi="Calibri" w:cs="Arial"/>
                <w:sz w:val="24"/>
                <w:szCs w:val="24"/>
              </w:rPr>
              <w:t>environmental, social and corporate governance</w:t>
            </w:r>
            <w:r w:rsidR="00DC03D4" w:rsidRPr="00432E20" w:rsidDel="00DC03D4">
              <w:rPr>
                <w:rFonts w:ascii="Calibri" w:hAnsi="Calibri" w:cs="Arial"/>
                <w:sz w:val="24"/>
                <w:szCs w:val="24"/>
              </w:rPr>
              <w:t xml:space="preserve"> </w:t>
            </w:r>
            <w:r w:rsidR="001E51D9" w:rsidRPr="00432E20">
              <w:rPr>
                <w:rFonts w:ascii="Calibri" w:hAnsi="Calibri" w:cs="Arial"/>
                <w:sz w:val="24"/>
                <w:szCs w:val="24"/>
              </w:rPr>
              <w:t>impacts</w:t>
            </w:r>
            <w:r w:rsidR="00A562A0" w:rsidRPr="00432E20">
              <w:rPr>
                <w:rFonts w:ascii="Calibri" w:hAnsi="Calibri" w:cs="Arial"/>
                <w:sz w:val="24"/>
                <w:szCs w:val="24"/>
              </w:rPr>
              <w:t>.</w:t>
            </w:r>
          </w:p>
        </w:tc>
        <w:tc>
          <w:tcPr>
            <w:tcW w:w="3787" w:type="dxa"/>
          </w:tcPr>
          <w:p w:rsidR="002604D2" w:rsidRPr="00432E20" w:rsidRDefault="002604D2" w:rsidP="0031365D">
            <w:pPr>
              <w:spacing w:line="360" w:lineRule="auto"/>
              <w:rPr>
                <w:rFonts w:ascii="Calibri" w:hAnsi="Calibri" w:cs="Arial"/>
                <w:sz w:val="24"/>
                <w:szCs w:val="24"/>
              </w:rPr>
            </w:pPr>
            <w:r w:rsidRPr="00432E20">
              <w:rPr>
                <w:rFonts w:ascii="Calibri" w:hAnsi="Calibri" w:cs="Arial"/>
                <w:sz w:val="24"/>
                <w:szCs w:val="24"/>
              </w:rPr>
              <w:t>Attached as ANNEX number</w:t>
            </w:r>
          </w:p>
        </w:tc>
      </w:tr>
    </w:tbl>
    <w:p w:rsidR="00D4352C" w:rsidRPr="00432E20" w:rsidRDefault="00D4352C" w:rsidP="00F91A61">
      <w:pPr>
        <w:spacing w:after="0" w:line="360" w:lineRule="auto"/>
        <w:rPr>
          <w:rFonts w:ascii="Calibri" w:hAnsi="Calibri" w:cs="Arial"/>
          <w:sz w:val="24"/>
          <w:szCs w:val="24"/>
        </w:rPr>
      </w:pPr>
    </w:p>
    <w:tbl>
      <w:tblPr>
        <w:tblStyle w:val="TableGrid"/>
        <w:tblW w:w="0" w:type="auto"/>
        <w:tblInd w:w="-5" w:type="dxa"/>
        <w:tblLook w:val="04A0" w:firstRow="1" w:lastRow="0" w:firstColumn="1" w:lastColumn="0" w:noHBand="0" w:noVBand="1"/>
      </w:tblPr>
      <w:tblGrid>
        <w:gridCol w:w="5954"/>
        <w:gridCol w:w="3787"/>
      </w:tblGrid>
      <w:tr w:rsidR="00123396" w:rsidRPr="00432E20" w:rsidTr="00412637">
        <w:tc>
          <w:tcPr>
            <w:tcW w:w="9741" w:type="dxa"/>
            <w:gridSpan w:val="2"/>
            <w:shd w:val="clear" w:color="auto" w:fill="000000" w:themeFill="text1"/>
          </w:tcPr>
          <w:p w:rsidR="002604D2" w:rsidRPr="00432E20" w:rsidRDefault="002604D2" w:rsidP="00092E30">
            <w:pPr>
              <w:pStyle w:val="ListParagraph"/>
              <w:numPr>
                <w:ilvl w:val="0"/>
                <w:numId w:val="37"/>
              </w:numPr>
              <w:spacing w:line="360" w:lineRule="auto"/>
              <w:rPr>
                <w:rFonts w:ascii="Calibri" w:hAnsi="Calibri" w:cs="Arial"/>
                <w:b/>
                <w:color w:val="FFFFFF" w:themeColor="background1"/>
                <w:sz w:val="24"/>
                <w:szCs w:val="24"/>
              </w:rPr>
            </w:pPr>
            <w:r w:rsidRPr="00432E20">
              <w:rPr>
                <w:rFonts w:ascii="Calibri" w:hAnsi="Calibri" w:cs="Arial"/>
                <w:b/>
                <w:color w:val="FFFFFF" w:themeColor="background1"/>
                <w:sz w:val="24"/>
                <w:szCs w:val="24"/>
              </w:rPr>
              <w:t>How the net performance of each asset class will be reported publicly by the pool, to encourage the sharing of data and best practice.</w:t>
            </w:r>
          </w:p>
        </w:tc>
      </w:tr>
      <w:tr w:rsidR="002604D2" w:rsidRPr="00432E20" w:rsidTr="00412637">
        <w:tc>
          <w:tcPr>
            <w:tcW w:w="9741" w:type="dxa"/>
            <w:gridSpan w:val="2"/>
          </w:tcPr>
          <w:p w:rsidR="002604D2" w:rsidRPr="00432E20" w:rsidRDefault="002604D2" w:rsidP="00092E30">
            <w:pPr>
              <w:pStyle w:val="ListParagraph"/>
              <w:numPr>
                <w:ilvl w:val="0"/>
                <w:numId w:val="20"/>
              </w:numPr>
              <w:spacing w:line="360" w:lineRule="auto"/>
              <w:rPr>
                <w:rFonts w:ascii="Calibri" w:hAnsi="Calibri" w:cs="Arial"/>
                <w:sz w:val="24"/>
                <w:szCs w:val="24"/>
              </w:rPr>
            </w:pPr>
            <w:r w:rsidRPr="00432E20">
              <w:rPr>
                <w:rFonts w:ascii="Calibri" w:hAnsi="Calibri" w:cs="Arial"/>
                <w:sz w:val="24"/>
                <w:szCs w:val="24"/>
              </w:rPr>
              <w:t xml:space="preserve">Please confirm that the pool will publish </w:t>
            </w:r>
            <w:r w:rsidR="002452B7" w:rsidRPr="00432E20">
              <w:rPr>
                <w:rFonts w:ascii="Calibri" w:hAnsi="Calibri" w:cs="Arial"/>
                <w:sz w:val="24"/>
                <w:szCs w:val="24"/>
              </w:rPr>
              <w:t xml:space="preserve">annual </w:t>
            </w:r>
            <w:r w:rsidR="003D11C1" w:rsidRPr="00432E20">
              <w:rPr>
                <w:rFonts w:ascii="Calibri" w:hAnsi="Calibri" w:cs="Arial"/>
                <w:sz w:val="24"/>
                <w:szCs w:val="24"/>
              </w:rPr>
              <w:t xml:space="preserve">net </w:t>
            </w:r>
            <w:r w:rsidRPr="00432E20">
              <w:rPr>
                <w:rFonts w:ascii="Calibri" w:hAnsi="Calibri" w:cs="Arial"/>
                <w:sz w:val="24"/>
                <w:szCs w:val="24"/>
              </w:rPr>
              <w:t xml:space="preserve">performance in each asset class </w:t>
            </w:r>
            <w:r w:rsidRPr="00432E20">
              <w:rPr>
                <w:rFonts w:ascii="Calibri" w:hAnsi="Calibri" w:cs="Arial"/>
                <w:sz w:val="24"/>
                <w:szCs w:val="24"/>
              </w:rPr>
              <w:lastRenderedPageBreak/>
              <w:t xml:space="preserve">on </w:t>
            </w:r>
            <w:r w:rsidR="00E12611" w:rsidRPr="00432E20">
              <w:rPr>
                <w:rFonts w:ascii="Calibri" w:hAnsi="Calibri" w:cs="Arial"/>
                <w:sz w:val="24"/>
                <w:szCs w:val="24"/>
              </w:rPr>
              <w:t xml:space="preserve">a publicly accessible </w:t>
            </w:r>
            <w:r w:rsidRPr="00432E20">
              <w:rPr>
                <w:rFonts w:ascii="Calibri" w:hAnsi="Calibri" w:cs="Arial"/>
                <w:sz w:val="24"/>
                <w:szCs w:val="24"/>
              </w:rPr>
              <w:t>website</w:t>
            </w:r>
            <w:r w:rsidR="00E12611" w:rsidRPr="00432E20">
              <w:rPr>
                <w:rFonts w:ascii="Calibri" w:hAnsi="Calibri" w:cs="Arial"/>
                <w:sz w:val="24"/>
                <w:szCs w:val="24"/>
              </w:rPr>
              <w:t>,</w:t>
            </w:r>
            <w:r w:rsidRPr="00432E20">
              <w:rPr>
                <w:rFonts w:ascii="Calibri" w:hAnsi="Calibri" w:cs="Arial"/>
                <w:sz w:val="24"/>
                <w:szCs w:val="24"/>
              </w:rPr>
              <w:t xml:space="preserve"> </w:t>
            </w:r>
            <w:r w:rsidR="001E51D9" w:rsidRPr="00432E20">
              <w:rPr>
                <w:rFonts w:ascii="Calibri" w:hAnsi="Calibri" w:cs="Arial"/>
                <w:sz w:val="24"/>
                <w:szCs w:val="24"/>
              </w:rPr>
              <w:t xml:space="preserve">and that </w:t>
            </w:r>
            <w:r w:rsidR="003D11C1" w:rsidRPr="00432E20">
              <w:rPr>
                <w:rFonts w:ascii="Calibri" w:hAnsi="Calibri" w:cs="Arial"/>
                <w:sz w:val="24"/>
                <w:szCs w:val="24"/>
              </w:rPr>
              <w:t xml:space="preserve">all </w:t>
            </w:r>
            <w:r w:rsidR="00EA515E" w:rsidRPr="00432E20">
              <w:rPr>
                <w:rFonts w:ascii="Calibri" w:hAnsi="Calibri" w:cs="Arial"/>
                <w:sz w:val="24"/>
                <w:szCs w:val="24"/>
              </w:rPr>
              <w:t xml:space="preserve">participating </w:t>
            </w:r>
            <w:r w:rsidR="00DC03D4" w:rsidRPr="00432E20">
              <w:rPr>
                <w:rFonts w:ascii="Calibri" w:hAnsi="Calibri" w:cs="Arial"/>
                <w:sz w:val="24"/>
                <w:szCs w:val="24"/>
              </w:rPr>
              <w:t xml:space="preserve">authorities </w:t>
            </w:r>
            <w:r w:rsidR="003D11C1" w:rsidRPr="00432E20">
              <w:rPr>
                <w:rFonts w:ascii="Calibri" w:hAnsi="Calibri" w:cs="Arial"/>
                <w:sz w:val="24"/>
                <w:szCs w:val="24"/>
              </w:rPr>
              <w:t xml:space="preserve">will </w:t>
            </w:r>
            <w:r w:rsidR="001E51D9" w:rsidRPr="00432E20">
              <w:rPr>
                <w:rFonts w:ascii="Calibri" w:hAnsi="Calibri" w:cs="Arial"/>
                <w:sz w:val="24"/>
                <w:szCs w:val="24"/>
              </w:rPr>
              <w:t>publi</w:t>
            </w:r>
            <w:r w:rsidR="003D11C1" w:rsidRPr="00432E20">
              <w:rPr>
                <w:rFonts w:ascii="Calibri" w:hAnsi="Calibri" w:cs="Arial"/>
                <w:sz w:val="24"/>
                <w:szCs w:val="24"/>
              </w:rPr>
              <w:t xml:space="preserve">sh net performance of their assets </w:t>
            </w:r>
            <w:r w:rsidR="001E51D9" w:rsidRPr="00432E20">
              <w:rPr>
                <w:rFonts w:ascii="Calibri" w:hAnsi="Calibri" w:cs="Arial"/>
                <w:sz w:val="24"/>
                <w:szCs w:val="24"/>
              </w:rPr>
              <w:t xml:space="preserve">on </w:t>
            </w:r>
            <w:r w:rsidR="00DC03D4" w:rsidRPr="00432E20">
              <w:rPr>
                <w:rFonts w:ascii="Calibri" w:hAnsi="Calibri" w:cs="Arial"/>
                <w:sz w:val="24"/>
                <w:szCs w:val="24"/>
              </w:rPr>
              <w:t xml:space="preserve">their </w:t>
            </w:r>
            <w:r w:rsidR="00E12611" w:rsidRPr="00432E20">
              <w:rPr>
                <w:rFonts w:ascii="Calibri" w:hAnsi="Calibri" w:cs="Arial"/>
                <w:sz w:val="24"/>
                <w:szCs w:val="24"/>
              </w:rPr>
              <w:t xml:space="preserve">own </w:t>
            </w:r>
            <w:r w:rsidRPr="00432E20">
              <w:rPr>
                <w:rFonts w:ascii="Calibri" w:hAnsi="Calibri" w:cs="Arial"/>
                <w:sz w:val="24"/>
                <w:szCs w:val="24"/>
              </w:rPr>
              <w:t>websites</w:t>
            </w:r>
            <w:r w:rsidR="003D11C1" w:rsidRPr="00432E20">
              <w:rPr>
                <w:rFonts w:ascii="Calibri" w:hAnsi="Calibri" w:cs="Arial"/>
                <w:sz w:val="24"/>
                <w:szCs w:val="24"/>
              </w:rPr>
              <w:t>, including fees and net performance in each listed asset class compared to a passive index</w:t>
            </w:r>
            <w:r w:rsidR="00DC03D4" w:rsidRPr="00432E20">
              <w:rPr>
                <w:rFonts w:ascii="Calibri" w:hAnsi="Calibri" w:cs="Arial"/>
                <w:sz w:val="24"/>
                <w:szCs w:val="24"/>
              </w:rPr>
              <w:t>.</w:t>
            </w:r>
          </w:p>
        </w:tc>
      </w:tr>
      <w:tr w:rsidR="002604D2" w:rsidRPr="00432E20" w:rsidTr="00412637">
        <w:tc>
          <w:tcPr>
            <w:tcW w:w="5954" w:type="dxa"/>
          </w:tcPr>
          <w:p w:rsidR="002604D2" w:rsidRPr="00432E20" w:rsidRDefault="002604D2" w:rsidP="0031365D">
            <w:pPr>
              <w:spacing w:line="360" w:lineRule="auto"/>
              <w:ind w:left="727"/>
              <w:rPr>
                <w:rFonts w:ascii="Calibri" w:hAnsi="Calibri" w:cs="Arial"/>
                <w:sz w:val="24"/>
                <w:szCs w:val="24"/>
              </w:rPr>
            </w:pPr>
            <w:r w:rsidRPr="00432E20">
              <w:rPr>
                <w:rFonts w:ascii="Calibri" w:hAnsi="Calibri" w:cs="Arial"/>
                <w:sz w:val="24"/>
                <w:szCs w:val="24"/>
              </w:rPr>
              <w:lastRenderedPageBreak/>
              <w:t xml:space="preserve">Confirmed </w:t>
            </w:r>
            <w:r w:rsidR="003D3964" w:rsidRPr="003D3964">
              <w:rPr>
                <w:rFonts w:ascii="Calibri" w:hAnsi="Calibri" w:cs="Arial"/>
                <w:color w:val="0070C0"/>
                <w:sz w:val="24"/>
                <w:szCs w:val="24"/>
              </w:rPr>
              <w:t>Yes</w:t>
            </w:r>
          </w:p>
          <w:p w:rsidR="002604D2" w:rsidRPr="00432E20" w:rsidRDefault="002604D2" w:rsidP="002604D2">
            <w:pPr>
              <w:spacing w:line="360" w:lineRule="auto"/>
              <w:ind w:left="727"/>
              <w:rPr>
                <w:rFonts w:ascii="Calibri" w:hAnsi="Calibri" w:cs="Arial"/>
                <w:sz w:val="24"/>
                <w:szCs w:val="24"/>
              </w:rPr>
            </w:pPr>
            <w:r w:rsidRPr="00432E20">
              <w:rPr>
                <w:rFonts w:ascii="Calibri" w:hAnsi="Calibri" w:cs="Arial"/>
                <w:sz w:val="24"/>
                <w:szCs w:val="24"/>
              </w:rPr>
              <w:t>If no please attach an ANNEX setting out how the pool will report publically on its performance</w:t>
            </w:r>
            <w:r w:rsidR="00A562A0" w:rsidRPr="00432E20">
              <w:rPr>
                <w:rFonts w:ascii="Calibri" w:hAnsi="Calibri" w:cs="Arial"/>
                <w:sz w:val="24"/>
                <w:szCs w:val="24"/>
              </w:rPr>
              <w:t>.</w:t>
            </w:r>
          </w:p>
        </w:tc>
        <w:tc>
          <w:tcPr>
            <w:tcW w:w="3787" w:type="dxa"/>
          </w:tcPr>
          <w:p w:rsidR="002604D2" w:rsidRPr="00432E20" w:rsidRDefault="002604D2" w:rsidP="00A562A0">
            <w:pPr>
              <w:spacing w:line="360" w:lineRule="auto"/>
              <w:rPr>
                <w:rFonts w:ascii="Calibri" w:hAnsi="Calibri" w:cs="Arial"/>
                <w:sz w:val="24"/>
                <w:szCs w:val="24"/>
              </w:rPr>
            </w:pPr>
            <w:r w:rsidRPr="00432E20">
              <w:rPr>
                <w:rFonts w:ascii="Calibri" w:hAnsi="Calibri" w:cs="Arial"/>
                <w:sz w:val="24"/>
                <w:szCs w:val="24"/>
              </w:rPr>
              <w:t>Attached as ANNEX number</w:t>
            </w:r>
          </w:p>
        </w:tc>
      </w:tr>
    </w:tbl>
    <w:p w:rsidR="00A7164B" w:rsidRPr="00432E20" w:rsidRDefault="00A7164B" w:rsidP="00A7164B">
      <w:pPr>
        <w:spacing w:after="0" w:line="360" w:lineRule="auto"/>
        <w:rPr>
          <w:rFonts w:ascii="Calibri" w:hAnsi="Calibri" w:cs="Arial"/>
          <w:sz w:val="24"/>
          <w:szCs w:val="24"/>
        </w:rPr>
      </w:pPr>
    </w:p>
    <w:tbl>
      <w:tblPr>
        <w:tblStyle w:val="TableGrid"/>
        <w:tblW w:w="0" w:type="auto"/>
        <w:tblInd w:w="-5" w:type="dxa"/>
        <w:tblLook w:val="04A0" w:firstRow="1" w:lastRow="0" w:firstColumn="1" w:lastColumn="0" w:noHBand="0" w:noVBand="1"/>
      </w:tblPr>
      <w:tblGrid>
        <w:gridCol w:w="9741"/>
      </w:tblGrid>
      <w:tr w:rsidR="00123396" w:rsidRPr="00432E20" w:rsidTr="00412637">
        <w:tc>
          <w:tcPr>
            <w:tcW w:w="9741" w:type="dxa"/>
            <w:shd w:val="clear" w:color="auto" w:fill="000000" w:themeFill="text1"/>
          </w:tcPr>
          <w:p w:rsidR="002604D2" w:rsidRPr="00432E20" w:rsidRDefault="002604D2" w:rsidP="00092E30">
            <w:pPr>
              <w:pStyle w:val="ListParagraph"/>
              <w:numPr>
                <w:ilvl w:val="0"/>
                <w:numId w:val="37"/>
              </w:numPr>
              <w:spacing w:line="360" w:lineRule="auto"/>
              <w:rPr>
                <w:rFonts w:ascii="Calibri" w:hAnsi="Calibri" w:cs="Arial"/>
                <w:b/>
                <w:color w:val="FFFFFF" w:themeColor="background1"/>
                <w:sz w:val="24"/>
                <w:szCs w:val="24"/>
              </w:rPr>
            </w:pPr>
            <w:r w:rsidRPr="00432E20">
              <w:rPr>
                <w:rFonts w:ascii="Calibri" w:hAnsi="Calibri" w:cs="Arial"/>
                <w:b/>
                <w:color w:val="FFFFFF" w:themeColor="background1"/>
                <w:sz w:val="24"/>
                <w:szCs w:val="24"/>
              </w:rPr>
              <w:t>The extent to which benchmarking is used by the authority to assess their own governance and performance and that of the pool</w:t>
            </w:r>
            <w:r w:rsidR="00292B56" w:rsidRPr="00432E20">
              <w:rPr>
                <w:rFonts w:ascii="Calibri" w:hAnsi="Calibri" w:cs="Arial"/>
                <w:b/>
                <w:color w:val="FFFFFF" w:themeColor="background1"/>
                <w:sz w:val="24"/>
                <w:szCs w:val="24"/>
              </w:rPr>
              <w:t>.</w:t>
            </w:r>
          </w:p>
        </w:tc>
      </w:tr>
      <w:tr w:rsidR="002604D2" w:rsidRPr="00432E20" w:rsidTr="00412637">
        <w:tc>
          <w:tcPr>
            <w:tcW w:w="9741" w:type="dxa"/>
          </w:tcPr>
          <w:p w:rsidR="002604D2" w:rsidRPr="00432E20" w:rsidRDefault="000D0959" w:rsidP="00092E30">
            <w:pPr>
              <w:pStyle w:val="ListParagraph"/>
              <w:numPr>
                <w:ilvl w:val="0"/>
                <w:numId w:val="21"/>
              </w:numPr>
              <w:spacing w:line="360" w:lineRule="auto"/>
              <w:rPr>
                <w:rFonts w:ascii="Calibri" w:hAnsi="Calibri" w:cs="Arial"/>
                <w:sz w:val="24"/>
                <w:szCs w:val="24"/>
              </w:rPr>
            </w:pPr>
            <w:r w:rsidRPr="00432E20">
              <w:rPr>
                <w:rFonts w:ascii="Calibri" w:hAnsi="Calibri" w:cs="Arial"/>
                <w:sz w:val="24"/>
                <w:szCs w:val="24"/>
              </w:rPr>
              <w:t xml:space="preserve">Please list the benchmarking indicators </w:t>
            </w:r>
            <w:r w:rsidR="00EA515E" w:rsidRPr="00432E20">
              <w:rPr>
                <w:rFonts w:ascii="Calibri" w:hAnsi="Calibri" w:cs="Arial"/>
                <w:sz w:val="24"/>
                <w:szCs w:val="24"/>
              </w:rPr>
              <w:t xml:space="preserve">and </w:t>
            </w:r>
            <w:r w:rsidRPr="00432E20">
              <w:rPr>
                <w:rFonts w:ascii="Calibri" w:hAnsi="Calibri" w:cs="Arial"/>
                <w:sz w:val="24"/>
                <w:szCs w:val="24"/>
              </w:rPr>
              <w:t xml:space="preserve">analysis </w:t>
            </w:r>
            <w:r w:rsidR="00EA515E" w:rsidRPr="00432E20">
              <w:rPr>
                <w:rFonts w:ascii="Calibri" w:hAnsi="Calibri" w:cs="Arial"/>
                <w:sz w:val="24"/>
                <w:szCs w:val="24"/>
              </w:rPr>
              <w:t xml:space="preserve">that </w:t>
            </w:r>
            <w:r w:rsidRPr="00432E20">
              <w:rPr>
                <w:rFonts w:ascii="Calibri" w:hAnsi="Calibri" w:cs="Arial"/>
                <w:sz w:val="24"/>
                <w:szCs w:val="24"/>
              </w:rPr>
              <w:t xml:space="preserve">the </w:t>
            </w:r>
            <w:r w:rsidR="00EA515E" w:rsidRPr="00432E20">
              <w:rPr>
                <w:rFonts w:ascii="Calibri" w:hAnsi="Calibri" w:cs="Arial"/>
                <w:sz w:val="24"/>
                <w:szCs w:val="24"/>
              </w:rPr>
              <w:t xml:space="preserve">participating authorities </w:t>
            </w:r>
            <w:r w:rsidRPr="00432E20">
              <w:rPr>
                <w:rFonts w:ascii="Calibri" w:hAnsi="Calibri" w:cs="Arial"/>
                <w:sz w:val="24"/>
                <w:szCs w:val="24"/>
              </w:rPr>
              <w:t>intend to implement</w:t>
            </w:r>
            <w:r w:rsidR="00A405E2" w:rsidRPr="00432E20">
              <w:rPr>
                <w:rFonts w:ascii="Calibri" w:hAnsi="Calibri" w:cs="Arial"/>
                <w:sz w:val="24"/>
                <w:szCs w:val="24"/>
              </w:rPr>
              <w:t xml:space="preserve"> to assess their own governance and performance and that of the pool</w:t>
            </w:r>
            <w:r w:rsidR="00292B56" w:rsidRPr="00432E20">
              <w:rPr>
                <w:rFonts w:ascii="Calibri" w:hAnsi="Calibri" w:cs="Arial"/>
                <w:sz w:val="24"/>
                <w:szCs w:val="24"/>
              </w:rPr>
              <w:t>.</w:t>
            </w:r>
          </w:p>
        </w:tc>
      </w:tr>
      <w:tr w:rsidR="002604D2" w:rsidRPr="00432E20" w:rsidTr="00412637">
        <w:tc>
          <w:tcPr>
            <w:tcW w:w="9741" w:type="dxa"/>
          </w:tcPr>
          <w:p w:rsidR="003D3964" w:rsidRDefault="003D3964" w:rsidP="003D3964">
            <w:pPr>
              <w:spacing w:line="360" w:lineRule="auto"/>
              <w:rPr>
                <w:rFonts w:ascii="Calibri" w:hAnsi="Calibri" w:cs="Arial"/>
                <w:color w:val="2F5496" w:themeColor="accent5" w:themeShade="BF"/>
                <w:sz w:val="24"/>
                <w:szCs w:val="24"/>
              </w:rPr>
            </w:pPr>
            <w:r w:rsidRPr="00967E40">
              <w:rPr>
                <w:rFonts w:ascii="Calibri" w:hAnsi="Calibri" w:cs="Arial"/>
                <w:sz w:val="24"/>
                <w:szCs w:val="24"/>
              </w:rPr>
              <w:t xml:space="preserve">            </w:t>
            </w:r>
            <w:r w:rsidRPr="00A70845">
              <w:rPr>
                <w:rFonts w:ascii="Calibri" w:hAnsi="Calibri" w:cs="Arial"/>
                <w:color w:val="2F5496" w:themeColor="accent5" w:themeShade="BF"/>
                <w:sz w:val="24"/>
                <w:szCs w:val="24"/>
              </w:rPr>
              <w:t>TBC</w:t>
            </w:r>
            <w:r>
              <w:rPr>
                <w:rFonts w:ascii="Calibri" w:hAnsi="Calibri" w:cs="Arial"/>
                <w:color w:val="2F5496" w:themeColor="accent5" w:themeShade="BF"/>
                <w:sz w:val="24"/>
                <w:szCs w:val="24"/>
              </w:rPr>
              <w:t xml:space="preserve"> but to include comments on the FCA regulated structure of the CIV, oversight by PSJC, CIV Board, use of external providers, e.g. Duff &amp; Phelps.</w:t>
            </w:r>
          </w:p>
          <w:p w:rsidR="002604D2" w:rsidRPr="00432E20" w:rsidRDefault="002604D2" w:rsidP="0031365D">
            <w:pPr>
              <w:spacing w:line="360" w:lineRule="auto"/>
              <w:rPr>
                <w:rFonts w:ascii="Calibri" w:hAnsi="Calibri" w:cs="Arial"/>
                <w:sz w:val="24"/>
                <w:szCs w:val="24"/>
              </w:rPr>
            </w:pPr>
          </w:p>
        </w:tc>
      </w:tr>
    </w:tbl>
    <w:p w:rsidR="00412637" w:rsidRPr="00432E20" w:rsidRDefault="00412637">
      <w:pPr>
        <w:rPr>
          <w:rFonts w:ascii="Calibri" w:hAnsi="Calibri" w:cs="Arial"/>
          <w:b/>
          <w:sz w:val="24"/>
          <w:szCs w:val="24"/>
        </w:rPr>
      </w:pPr>
      <w:r w:rsidRPr="00432E20">
        <w:rPr>
          <w:rFonts w:ascii="Calibri" w:hAnsi="Calibri" w:cs="Arial"/>
          <w:b/>
          <w:sz w:val="24"/>
          <w:szCs w:val="24"/>
        </w:rPr>
        <w:br w:type="page"/>
      </w:r>
    </w:p>
    <w:p w:rsidR="00095E0E" w:rsidRPr="00432E20" w:rsidRDefault="00095E0E" w:rsidP="00412637">
      <w:pPr>
        <w:rPr>
          <w:rFonts w:ascii="Calibri" w:hAnsi="Calibri" w:cs="Arial"/>
          <w:b/>
          <w:sz w:val="24"/>
          <w:szCs w:val="24"/>
        </w:rPr>
      </w:pPr>
      <w:r w:rsidRPr="00432E20">
        <w:rPr>
          <w:rFonts w:ascii="Calibri" w:hAnsi="Calibri" w:cs="Arial"/>
          <w:b/>
          <w:sz w:val="24"/>
          <w:szCs w:val="24"/>
        </w:rPr>
        <w:lastRenderedPageBreak/>
        <w:t>Criteri</w:t>
      </w:r>
      <w:r w:rsidR="000A2E78" w:rsidRPr="00432E20">
        <w:rPr>
          <w:rFonts w:ascii="Calibri" w:hAnsi="Calibri" w:cs="Arial"/>
          <w:b/>
          <w:sz w:val="24"/>
          <w:szCs w:val="24"/>
        </w:rPr>
        <w:t>on</w:t>
      </w:r>
      <w:r w:rsidRPr="00432E20">
        <w:rPr>
          <w:rFonts w:ascii="Calibri" w:hAnsi="Calibri" w:cs="Arial"/>
          <w:b/>
          <w:sz w:val="24"/>
          <w:szCs w:val="24"/>
        </w:rPr>
        <w:t xml:space="preserve"> C: Reduced costs and excellent value for money</w:t>
      </w:r>
    </w:p>
    <w:tbl>
      <w:tblPr>
        <w:tblStyle w:val="TableGrid"/>
        <w:tblW w:w="0" w:type="auto"/>
        <w:tblInd w:w="-5" w:type="dxa"/>
        <w:tblLook w:val="04A0" w:firstRow="1" w:lastRow="0" w:firstColumn="1" w:lastColumn="0" w:noHBand="0" w:noVBand="1"/>
      </w:tblPr>
      <w:tblGrid>
        <w:gridCol w:w="5954"/>
        <w:gridCol w:w="3787"/>
      </w:tblGrid>
      <w:tr w:rsidR="002452B7" w:rsidRPr="00432E20" w:rsidTr="00412637">
        <w:tc>
          <w:tcPr>
            <w:tcW w:w="9741" w:type="dxa"/>
            <w:gridSpan w:val="2"/>
            <w:shd w:val="clear" w:color="auto" w:fill="000000" w:themeFill="text1"/>
          </w:tcPr>
          <w:p w:rsidR="00095E0E" w:rsidRPr="00432E20" w:rsidRDefault="00095E0E" w:rsidP="00092E30">
            <w:pPr>
              <w:pStyle w:val="ListParagraph"/>
              <w:numPr>
                <w:ilvl w:val="0"/>
                <w:numId w:val="15"/>
              </w:numPr>
              <w:spacing w:line="360" w:lineRule="auto"/>
              <w:rPr>
                <w:rFonts w:ascii="Calibri" w:hAnsi="Calibri" w:cs="Arial"/>
                <w:b/>
                <w:color w:val="FFFFFF" w:themeColor="background1"/>
                <w:sz w:val="24"/>
                <w:szCs w:val="24"/>
              </w:rPr>
            </w:pPr>
            <w:r w:rsidRPr="00432E20">
              <w:rPr>
                <w:rFonts w:ascii="Calibri" w:hAnsi="Calibri" w:cs="Arial"/>
                <w:b/>
                <w:color w:val="FFFFFF" w:themeColor="background1"/>
                <w:sz w:val="24"/>
                <w:szCs w:val="24"/>
              </w:rPr>
              <w:t>A fully transparent assessment of investment costs and fees as at 31 March 2013.</w:t>
            </w:r>
          </w:p>
        </w:tc>
      </w:tr>
      <w:tr w:rsidR="00095E0E" w:rsidRPr="00432E20" w:rsidTr="00412637">
        <w:tc>
          <w:tcPr>
            <w:tcW w:w="5954" w:type="dxa"/>
          </w:tcPr>
          <w:p w:rsidR="00095E0E" w:rsidRPr="00432E20" w:rsidRDefault="000D0959" w:rsidP="00092E30">
            <w:pPr>
              <w:pStyle w:val="ListParagraph"/>
              <w:numPr>
                <w:ilvl w:val="0"/>
                <w:numId w:val="16"/>
              </w:numPr>
              <w:spacing w:line="360" w:lineRule="auto"/>
              <w:rPr>
                <w:rFonts w:ascii="Calibri" w:hAnsi="Calibri" w:cs="Arial"/>
                <w:sz w:val="24"/>
                <w:szCs w:val="24"/>
              </w:rPr>
            </w:pPr>
            <w:r w:rsidRPr="00432E20">
              <w:rPr>
                <w:rFonts w:ascii="Calibri" w:hAnsi="Calibri" w:cs="Arial"/>
                <w:sz w:val="24"/>
                <w:szCs w:val="24"/>
              </w:rPr>
              <w:t xml:space="preserve">Please state the total investment costs and fees for </w:t>
            </w:r>
            <w:r w:rsidR="00292E8D" w:rsidRPr="00432E20">
              <w:rPr>
                <w:rFonts w:ascii="Calibri" w:hAnsi="Calibri" w:cs="Arial"/>
                <w:sz w:val="24"/>
                <w:szCs w:val="24"/>
              </w:rPr>
              <w:t xml:space="preserve">each of the authorities </w:t>
            </w:r>
            <w:r w:rsidRPr="00432E20">
              <w:rPr>
                <w:rFonts w:ascii="Calibri" w:hAnsi="Calibri" w:cs="Arial"/>
                <w:sz w:val="24"/>
                <w:szCs w:val="24"/>
              </w:rPr>
              <w:t>in the pool as reported in the Annual Report and Accounts for that year ending 31</w:t>
            </w:r>
            <w:r w:rsidR="000168E3" w:rsidRPr="00432E20">
              <w:rPr>
                <w:rFonts w:ascii="Calibri" w:hAnsi="Calibri" w:cs="Arial"/>
                <w:sz w:val="24"/>
                <w:szCs w:val="24"/>
              </w:rPr>
              <w:t>.03.</w:t>
            </w:r>
            <w:r w:rsidRPr="00432E20">
              <w:rPr>
                <w:rFonts w:ascii="Calibri" w:hAnsi="Calibri" w:cs="Arial"/>
                <w:sz w:val="24"/>
                <w:szCs w:val="24"/>
              </w:rPr>
              <w:t>2013</w:t>
            </w:r>
            <w:r w:rsidR="00A562A0" w:rsidRPr="00432E20">
              <w:rPr>
                <w:rFonts w:ascii="Calibri" w:hAnsi="Calibri" w:cs="Arial"/>
                <w:sz w:val="24"/>
                <w:szCs w:val="24"/>
              </w:rPr>
              <w:t>.</w:t>
            </w:r>
          </w:p>
        </w:tc>
        <w:tc>
          <w:tcPr>
            <w:tcW w:w="3787" w:type="dxa"/>
          </w:tcPr>
          <w:p w:rsidR="00095E0E" w:rsidRDefault="00095E0E" w:rsidP="00095E0E">
            <w:pPr>
              <w:spacing w:line="360" w:lineRule="auto"/>
              <w:ind w:left="337"/>
              <w:rPr>
                <w:rFonts w:ascii="Calibri" w:hAnsi="Calibri" w:cs="Arial"/>
                <w:sz w:val="24"/>
                <w:szCs w:val="24"/>
              </w:rPr>
            </w:pPr>
          </w:p>
          <w:p w:rsidR="003D3964" w:rsidRPr="00432E20" w:rsidRDefault="003D3964" w:rsidP="00095E0E">
            <w:pPr>
              <w:spacing w:line="360" w:lineRule="auto"/>
              <w:ind w:left="337"/>
              <w:rPr>
                <w:rFonts w:ascii="Calibri" w:hAnsi="Calibri" w:cs="Arial"/>
                <w:sz w:val="24"/>
                <w:szCs w:val="24"/>
              </w:rPr>
            </w:pPr>
            <w:r w:rsidRPr="00A70845">
              <w:rPr>
                <w:rFonts w:ascii="Calibri" w:hAnsi="Calibri" w:cs="Arial"/>
                <w:b/>
                <w:bCs/>
                <w:color w:val="2F5496" w:themeColor="accent5" w:themeShade="BF"/>
                <w:sz w:val="24"/>
                <w:szCs w:val="24"/>
              </w:rPr>
              <w:t>£90.83m</w:t>
            </w:r>
            <w:r>
              <w:rPr>
                <w:rFonts w:ascii="Calibri" w:hAnsi="Calibri" w:cs="Arial"/>
                <w:b/>
                <w:bCs/>
                <w:color w:val="2F5496" w:themeColor="accent5" w:themeShade="BF"/>
                <w:sz w:val="24"/>
                <w:szCs w:val="24"/>
              </w:rPr>
              <w:t xml:space="preserve"> (</w:t>
            </w:r>
            <w:r>
              <w:rPr>
                <w:rFonts w:ascii="Calibri" w:hAnsi="Calibri" w:cs="Arial"/>
                <w:bCs/>
                <w:color w:val="2F5496" w:themeColor="accent5" w:themeShade="BF"/>
                <w:sz w:val="24"/>
                <w:szCs w:val="24"/>
              </w:rPr>
              <w:t>Published costs)</w:t>
            </w:r>
          </w:p>
        </w:tc>
      </w:tr>
      <w:tr w:rsidR="00095E0E" w:rsidRPr="00432E20" w:rsidTr="00412637">
        <w:tc>
          <w:tcPr>
            <w:tcW w:w="5954" w:type="dxa"/>
          </w:tcPr>
          <w:p w:rsidR="00095E0E" w:rsidRPr="00432E20" w:rsidRDefault="00095E0E" w:rsidP="00092E30">
            <w:pPr>
              <w:pStyle w:val="ListParagraph"/>
              <w:numPr>
                <w:ilvl w:val="0"/>
                <w:numId w:val="16"/>
              </w:numPr>
              <w:spacing w:line="360" w:lineRule="auto"/>
              <w:rPr>
                <w:rFonts w:ascii="Calibri" w:hAnsi="Calibri" w:cs="Arial"/>
                <w:sz w:val="24"/>
                <w:szCs w:val="24"/>
              </w:rPr>
            </w:pPr>
            <w:r w:rsidRPr="00432E20">
              <w:rPr>
                <w:rFonts w:ascii="Calibri" w:hAnsi="Calibri" w:cs="Arial"/>
                <w:sz w:val="24"/>
                <w:szCs w:val="24"/>
              </w:rPr>
              <w:t xml:space="preserve">Please state the total investment costs and fees for </w:t>
            </w:r>
            <w:r w:rsidR="00292E8D" w:rsidRPr="00432E20">
              <w:rPr>
                <w:rFonts w:ascii="Calibri" w:hAnsi="Calibri" w:cs="Arial"/>
                <w:sz w:val="24"/>
                <w:szCs w:val="24"/>
              </w:rPr>
              <w:t xml:space="preserve">each of </w:t>
            </w:r>
            <w:r w:rsidRPr="00432E20">
              <w:rPr>
                <w:rFonts w:ascii="Calibri" w:hAnsi="Calibri" w:cs="Arial"/>
                <w:sz w:val="24"/>
                <w:szCs w:val="24"/>
              </w:rPr>
              <w:t xml:space="preserve">the </w:t>
            </w:r>
            <w:r w:rsidR="006213CD" w:rsidRPr="00432E20">
              <w:rPr>
                <w:rFonts w:ascii="Calibri" w:hAnsi="Calibri" w:cs="Arial"/>
                <w:sz w:val="24"/>
                <w:szCs w:val="24"/>
              </w:rPr>
              <w:t xml:space="preserve">authorities </w:t>
            </w:r>
            <w:r w:rsidRPr="00432E20">
              <w:rPr>
                <w:rFonts w:ascii="Calibri" w:hAnsi="Calibri" w:cs="Arial"/>
                <w:sz w:val="24"/>
                <w:szCs w:val="24"/>
              </w:rPr>
              <w:t xml:space="preserve">in the pool as at </w:t>
            </w:r>
            <w:r w:rsidR="000168E3" w:rsidRPr="00432E20">
              <w:rPr>
                <w:rFonts w:ascii="Calibri" w:hAnsi="Calibri" w:cs="Arial"/>
                <w:sz w:val="24"/>
                <w:szCs w:val="24"/>
              </w:rPr>
              <w:t>31.03.</w:t>
            </w:r>
            <w:r w:rsidRPr="00432E20">
              <w:rPr>
                <w:rFonts w:ascii="Calibri" w:hAnsi="Calibri" w:cs="Arial"/>
                <w:sz w:val="24"/>
                <w:szCs w:val="24"/>
              </w:rPr>
              <w:t xml:space="preserve">2013 on a </w:t>
            </w:r>
            <w:r w:rsidR="000E3766" w:rsidRPr="00432E20">
              <w:rPr>
                <w:rFonts w:ascii="Calibri" w:hAnsi="Calibri" w:cs="Arial"/>
                <w:sz w:val="24"/>
                <w:szCs w:val="24"/>
              </w:rPr>
              <w:t xml:space="preserve">fully </w:t>
            </w:r>
            <w:r w:rsidRPr="00432E20">
              <w:rPr>
                <w:rFonts w:ascii="Calibri" w:hAnsi="Calibri" w:cs="Arial"/>
                <w:sz w:val="24"/>
                <w:szCs w:val="24"/>
              </w:rPr>
              <w:t>transparent basis</w:t>
            </w:r>
            <w:r w:rsidR="00A562A0" w:rsidRPr="00432E20">
              <w:rPr>
                <w:rFonts w:ascii="Calibri" w:hAnsi="Calibri" w:cs="Arial"/>
                <w:sz w:val="24"/>
                <w:szCs w:val="24"/>
              </w:rPr>
              <w:t>.</w:t>
            </w:r>
          </w:p>
        </w:tc>
        <w:tc>
          <w:tcPr>
            <w:tcW w:w="3787" w:type="dxa"/>
          </w:tcPr>
          <w:p w:rsidR="00095E0E" w:rsidRDefault="00095E0E" w:rsidP="00095E0E">
            <w:pPr>
              <w:spacing w:line="360" w:lineRule="auto"/>
              <w:ind w:left="337"/>
              <w:rPr>
                <w:rFonts w:ascii="Calibri" w:hAnsi="Calibri" w:cs="Arial"/>
                <w:sz w:val="24"/>
                <w:szCs w:val="24"/>
              </w:rPr>
            </w:pPr>
          </w:p>
          <w:p w:rsidR="003D3964" w:rsidRPr="003D3964" w:rsidRDefault="003D3964" w:rsidP="00095E0E">
            <w:pPr>
              <w:spacing w:line="360" w:lineRule="auto"/>
              <w:ind w:left="337"/>
              <w:rPr>
                <w:rFonts w:ascii="Calibri" w:hAnsi="Calibri" w:cs="Arial"/>
                <w:color w:val="0070C0"/>
                <w:sz w:val="24"/>
                <w:szCs w:val="24"/>
              </w:rPr>
            </w:pPr>
            <w:r w:rsidRPr="003D3964">
              <w:rPr>
                <w:rFonts w:ascii="Calibri" w:hAnsi="Calibri" w:cs="Arial"/>
                <w:color w:val="0070C0"/>
                <w:sz w:val="24"/>
                <w:szCs w:val="24"/>
              </w:rPr>
              <w:t>Awaiting CEM Benchmark data</w:t>
            </w:r>
          </w:p>
          <w:p w:rsidR="003D3964" w:rsidRPr="00432E20" w:rsidRDefault="003D3964" w:rsidP="00095E0E">
            <w:pPr>
              <w:spacing w:line="360" w:lineRule="auto"/>
              <w:ind w:left="337"/>
              <w:rPr>
                <w:rFonts w:ascii="Calibri" w:hAnsi="Calibri" w:cs="Arial"/>
                <w:sz w:val="24"/>
                <w:szCs w:val="24"/>
              </w:rPr>
            </w:pPr>
          </w:p>
        </w:tc>
      </w:tr>
      <w:tr w:rsidR="00095E0E" w:rsidRPr="00432E20" w:rsidTr="00412637">
        <w:tc>
          <w:tcPr>
            <w:tcW w:w="9741" w:type="dxa"/>
            <w:gridSpan w:val="2"/>
          </w:tcPr>
          <w:p w:rsidR="00095E0E" w:rsidRDefault="00095E0E" w:rsidP="00092E30">
            <w:pPr>
              <w:pStyle w:val="ListParagraph"/>
              <w:numPr>
                <w:ilvl w:val="0"/>
                <w:numId w:val="16"/>
              </w:numPr>
              <w:spacing w:line="360" w:lineRule="auto"/>
              <w:rPr>
                <w:rFonts w:ascii="Calibri" w:hAnsi="Calibri" w:cs="Arial"/>
                <w:sz w:val="24"/>
                <w:szCs w:val="24"/>
              </w:rPr>
            </w:pPr>
            <w:r w:rsidRPr="00432E20">
              <w:rPr>
                <w:rFonts w:ascii="Calibri" w:hAnsi="Calibri" w:cs="Arial"/>
                <w:sz w:val="24"/>
                <w:szCs w:val="24"/>
              </w:rPr>
              <w:t xml:space="preserve">Please list below the assumptions made for the purposes of </w:t>
            </w:r>
            <w:r w:rsidR="006213CD" w:rsidRPr="00432E20">
              <w:rPr>
                <w:rFonts w:ascii="Calibri" w:hAnsi="Calibri" w:cs="Arial"/>
                <w:sz w:val="24"/>
                <w:szCs w:val="24"/>
              </w:rPr>
              <w:t xml:space="preserve">calculating </w:t>
            </w:r>
            <w:r w:rsidRPr="00432E20">
              <w:rPr>
                <w:rFonts w:ascii="Calibri" w:hAnsi="Calibri" w:cs="Arial"/>
                <w:sz w:val="24"/>
                <w:szCs w:val="24"/>
              </w:rPr>
              <w:t>the transparent costs quoted</w:t>
            </w:r>
            <w:r w:rsidR="00A562A0" w:rsidRPr="00432E20">
              <w:rPr>
                <w:rFonts w:ascii="Calibri" w:hAnsi="Calibri" w:cs="Arial"/>
                <w:sz w:val="24"/>
                <w:szCs w:val="24"/>
              </w:rPr>
              <w:t>.</w:t>
            </w:r>
          </w:p>
          <w:p w:rsidR="003D3964" w:rsidRPr="00A70845" w:rsidRDefault="003D3964" w:rsidP="003D3964">
            <w:pPr>
              <w:spacing w:line="360" w:lineRule="auto"/>
              <w:ind w:left="1168"/>
              <w:rPr>
                <w:rFonts w:ascii="Calibri" w:hAnsi="Calibri" w:cs="Arial"/>
                <w:color w:val="2F5496" w:themeColor="accent5" w:themeShade="BF"/>
                <w:sz w:val="24"/>
                <w:szCs w:val="24"/>
              </w:rPr>
            </w:pPr>
            <w:r w:rsidRPr="00A70845">
              <w:rPr>
                <w:rFonts w:ascii="Calibri" w:hAnsi="Calibri" w:cs="Arial"/>
                <w:color w:val="2F5496" w:themeColor="accent5" w:themeShade="BF"/>
                <w:sz w:val="24"/>
                <w:szCs w:val="24"/>
              </w:rPr>
              <w:t xml:space="preserve">All </w:t>
            </w:r>
            <w:r w:rsidR="009F15E9">
              <w:rPr>
                <w:rFonts w:ascii="Calibri" w:hAnsi="Calibri" w:cs="Arial"/>
                <w:color w:val="2F5496" w:themeColor="accent5" w:themeShade="BF"/>
                <w:sz w:val="24"/>
                <w:szCs w:val="24"/>
              </w:rPr>
              <w:t>London Local Authorities</w:t>
            </w:r>
            <w:r w:rsidRPr="00A70845">
              <w:rPr>
                <w:rFonts w:ascii="Calibri" w:hAnsi="Calibri" w:cs="Arial"/>
                <w:color w:val="2F5496" w:themeColor="accent5" w:themeShade="BF"/>
                <w:sz w:val="24"/>
                <w:szCs w:val="24"/>
              </w:rPr>
              <w:t xml:space="preserve"> have provided data to CEM Benchmarking to ensure that costs are measured in the same way and to make investment costs fully transparent</w:t>
            </w:r>
          </w:p>
          <w:p w:rsidR="003D3964" w:rsidRPr="00432E20" w:rsidRDefault="003D3964" w:rsidP="003D3964">
            <w:pPr>
              <w:pStyle w:val="ListParagraph"/>
              <w:spacing w:line="360" w:lineRule="auto"/>
              <w:ind w:left="1440"/>
              <w:rPr>
                <w:rFonts w:ascii="Calibri" w:hAnsi="Calibri" w:cs="Arial"/>
                <w:sz w:val="24"/>
                <w:szCs w:val="24"/>
              </w:rPr>
            </w:pPr>
          </w:p>
        </w:tc>
      </w:tr>
    </w:tbl>
    <w:p w:rsidR="00095E0E" w:rsidRPr="00432E20" w:rsidRDefault="00095E0E" w:rsidP="00F91A61">
      <w:pPr>
        <w:spacing w:after="0" w:line="360" w:lineRule="auto"/>
        <w:rPr>
          <w:rFonts w:ascii="Calibri" w:hAnsi="Calibri" w:cs="Arial"/>
          <w:sz w:val="24"/>
          <w:szCs w:val="24"/>
        </w:rPr>
      </w:pPr>
    </w:p>
    <w:tbl>
      <w:tblPr>
        <w:tblStyle w:val="TableGrid"/>
        <w:tblW w:w="0" w:type="auto"/>
        <w:tblInd w:w="-5" w:type="dxa"/>
        <w:tblLook w:val="04A0" w:firstRow="1" w:lastRow="0" w:firstColumn="1" w:lastColumn="0" w:noHBand="0" w:noVBand="1"/>
      </w:tblPr>
      <w:tblGrid>
        <w:gridCol w:w="5954"/>
        <w:gridCol w:w="3787"/>
      </w:tblGrid>
      <w:tr w:rsidR="002452B7" w:rsidRPr="00432E20" w:rsidTr="00F91A61">
        <w:tc>
          <w:tcPr>
            <w:tcW w:w="9741" w:type="dxa"/>
            <w:gridSpan w:val="2"/>
            <w:shd w:val="clear" w:color="auto" w:fill="000000" w:themeFill="text1"/>
          </w:tcPr>
          <w:p w:rsidR="00C75E19" w:rsidRPr="00432E20" w:rsidRDefault="00C75E19" w:rsidP="00092E30">
            <w:pPr>
              <w:pStyle w:val="ListParagraph"/>
              <w:numPr>
                <w:ilvl w:val="0"/>
                <w:numId w:val="15"/>
              </w:numPr>
              <w:spacing w:line="360" w:lineRule="auto"/>
              <w:rPr>
                <w:rFonts w:ascii="Calibri" w:hAnsi="Calibri" w:cs="Arial"/>
                <w:b/>
                <w:color w:val="FFFFFF" w:themeColor="background1"/>
                <w:sz w:val="24"/>
                <w:szCs w:val="24"/>
              </w:rPr>
            </w:pPr>
            <w:r w:rsidRPr="00432E20">
              <w:rPr>
                <w:rFonts w:ascii="Calibri" w:hAnsi="Calibri" w:cs="Arial"/>
                <w:b/>
                <w:color w:val="FFFFFF" w:themeColor="background1"/>
                <w:sz w:val="24"/>
                <w:szCs w:val="24"/>
              </w:rPr>
              <w:t>A fully transparent assessment of current investment costs and fees, prepared on the same basis as 201</w:t>
            </w:r>
            <w:r w:rsidR="00BB7BAE" w:rsidRPr="00432E20">
              <w:rPr>
                <w:rFonts w:ascii="Calibri" w:hAnsi="Calibri" w:cs="Arial"/>
                <w:b/>
                <w:color w:val="FFFFFF" w:themeColor="background1"/>
                <w:sz w:val="24"/>
                <w:szCs w:val="24"/>
              </w:rPr>
              <w:t>3</w:t>
            </w:r>
            <w:r w:rsidRPr="00432E20">
              <w:rPr>
                <w:rFonts w:ascii="Calibri" w:hAnsi="Calibri" w:cs="Arial"/>
                <w:b/>
                <w:color w:val="FFFFFF" w:themeColor="background1"/>
                <w:sz w:val="24"/>
                <w:szCs w:val="24"/>
              </w:rPr>
              <w:t xml:space="preserve"> for comparison</w:t>
            </w:r>
            <w:r w:rsidR="00BB0E3C" w:rsidRPr="00432E20">
              <w:rPr>
                <w:rFonts w:ascii="Calibri" w:hAnsi="Calibri" w:cs="Arial"/>
                <w:b/>
                <w:color w:val="FFFFFF" w:themeColor="background1"/>
                <w:sz w:val="24"/>
                <w:szCs w:val="24"/>
              </w:rPr>
              <w:t>,</w:t>
            </w:r>
            <w:r w:rsidR="000D0959" w:rsidRPr="00432E20">
              <w:rPr>
                <w:rFonts w:ascii="Calibri" w:hAnsi="Calibri" w:cs="Arial"/>
                <w:b/>
                <w:color w:val="FFFFFF" w:themeColor="background1"/>
                <w:sz w:val="24"/>
                <w:szCs w:val="24"/>
              </w:rPr>
              <w:t xml:space="preserve"> and how these will be reduced over</w:t>
            </w:r>
            <w:r w:rsidR="000A2E78" w:rsidRPr="00432E20">
              <w:rPr>
                <w:rFonts w:ascii="Calibri" w:hAnsi="Calibri" w:cs="Arial"/>
                <w:b/>
                <w:color w:val="FFFFFF" w:themeColor="background1"/>
                <w:sz w:val="24"/>
                <w:szCs w:val="24"/>
              </w:rPr>
              <w:t xml:space="preserve">  </w:t>
            </w:r>
            <w:r w:rsidR="000D0959" w:rsidRPr="00432E20">
              <w:rPr>
                <w:rFonts w:ascii="Calibri" w:hAnsi="Calibri" w:cs="Arial"/>
                <w:b/>
                <w:color w:val="FFFFFF" w:themeColor="background1"/>
                <w:sz w:val="24"/>
                <w:szCs w:val="24"/>
              </w:rPr>
              <w:t>time.</w:t>
            </w:r>
          </w:p>
        </w:tc>
      </w:tr>
      <w:tr w:rsidR="00C75E19" w:rsidRPr="00432E20" w:rsidTr="00F91A61">
        <w:tc>
          <w:tcPr>
            <w:tcW w:w="5954" w:type="dxa"/>
          </w:tcPr>
          <w:p w:rsidR="00C75E19" w:rsidRPr="00432E20" w:rsidRDefault="000D0959" w:rsidP="00092E30">
            <w:pPr>
              <w:pStyle w:val="ListParagraph"/>
              <w:numPr>
                <w:ilvl w:val="0"/>
                <w:numId w:val="17"/>
              </w:numPr>
              <w:spacing w:line="360" w:lineRule="auto"/>
              <w:rPr>
                <w:rFonts w:ascii="Calibri" w:hAnsi="Calibri" w:cs="Arial"/>
                <w:sz w:val="24"/>
                <w:szCs w:val="24"/>
              </w:rPr>
            </w:pPr>
            <w:r w:rsidRPr="00432E20">
              <w:rPr>
                <w:rFonts w:ascii="Calibri" w:hAnsi="Calibri" w:cs="Arial"/>
                <w:sz w:val="24"/>
                <w:szCs w:val="24"/>
              </w:rPr>
              <w:t xml:space="preserve">Please state the total investment costs and fees for </w:t>
            </w:r>
            <w:r w:rsidR="00292E8D" w:rsidRPr="00432E20">
              <w:rPr>
                <w:rFonts w:ascii="Calibri" w:hAnsi="Calibri" w:cs="Arial"/>
                <w:sz w:val="24"/>
                <w:szCs w:val="24"/>
              </w:rPr>
              <w:t xml:space="preserve">each of the authorities </w:t>
            </w:r>
            <w:r w:rsidRPr="00432E20">
              <w:rPr>
                <w:rFonts w:ascii="Calibri" w:hAnsi="Calibri" w:cs="Arial"/>
                <w:sz w:val="24"/>
                <w:szCs w:val="24"/>
              </w:rPr>
              <w:t>in the pool as reported in the Annual Report and Accounts for that year ending 31</w:t>
            </w:r>
            <w:r w:rsidR="000168E3" w:rsidRPr="00432E20">
              <w:rPr>
                <w:rFonts w:ascii="Calibri" w:hAnsi="Calibri" w:cs="Arial"/>
                <w:sz w:val="24"/>
                <w:szCs w:val="24"/>
              </w:rPr>
              <w:t>.03.</w:t>
            </w:r>
            <w:r w:rsidRPr="00432E20">
              <w:rPr>
                <w:rFonts w:ascii="Calibri" w:hAnsi="Calibri" w:cs="Arial"/>
                <w:sz w:val="24"/>
                <w:szCs w:val="24"/>
              </w:rPr>
              <w:t>2015</w:t>
            </w:r>
            <w:r w:rsidR="00A562A0" w:rsidRPr="00432E20">
              <w:rPr>
                <w:rFonts w:ascii="Calibri" w:hAnsi="Calibri" w:cs="Arial"/>
                <w:sz w:val="24"/>
                <w:szCs w:val="24"/>
              </w:rPr>
              <w:t>.</w:t>
            </w:r>
          </w:p>
        </w:tc>
        <w:tc>
          <w:tcPr>
            <w:tcW w:w="3787" w:type="dxa"/>
          </w:tcPr>
          <w:p w:rsidR="000D0959" w:rsidRDefault="000D0959" w:rsidP="00C75E19">
            <w:pPr>
              <w:spacing w:line="360" w:lineRule="auto"/>
              <w:ind w:left="337"/>
              <w:rPr>
                <w:rFonts w:ascii="Calibri" w:hAnsi="Calibri" w:cs="Arial"/>
                <w:sz w:val="24"/>
                <w:szCs w:val="24"/>
              </w:rPr>
            </w:pPr>
          </w:p>
          <w:p w:rsidR="003D3964" w:rsidRPr="00432E20" w:rsidRDefault="003D3964" w:rsidP="00C75E19">
            <w:pPr>
              <w:spacing w:line="360" w:lineRule="auto"/>
              <w:ind w:left="337"/>
              <w:rPr>
                <w:rFonts w:ascii="Calibri" w:hAnsi="Calibri" w:cs="Arial"/>
                <w:sz w:val="24"/>
                <w:szCs w:val="24"/>
              </w:rPr>
            </w:pPr>
            <w:r w:rsidRPr="00A70845">
              <w:rPr>
                <w:rFonts w:ascii="Calibri" w:hAnsi="Calibri" w:cs="Arial"/>
                <w:b/>
                <w:bCs/>
                <w:color w:val="2F5496" w:themeColor="accent5" w:themeShade="BF"/>
                <w:sz w:val="24"/>
                <w:szCs w:val="24"/>
              </w:rPr>
              <w:t xml:space="preserve">£107.19m </w:t>
            </w:r>
            <w:r>
              <w:rPr>
                <w:rFonts w:ascii="Calibri" w:hAnsi="Calibri" w:cs="Arial"/>
                <w:b/>
                <w:bCs/>
                <w:color w:val="2F5496" w:themeColor="accent5" w:themeShade="BF"/>
                <w:sz w:val="24"/>
                <w:szCs w:val="24"/>
              </w:rPr>
              <w:t>(</w:t>
            </w:r>
            <w:r>
              <w:rPr>
                <w:rFonts w:ascii="Calibri" w:hAnsi="Calibri" w:cs="Arial"/>
                <w:bCs/>
                <w:color w:val="2F5496" w:themeColor="accent5" w:themeShade="BF"/>
                <w:sz w:val="24"/>
                <w:szCs w:val="24"/>
              </w:rPr>
              <w:t>Published costs</w:t>
            </w:r>
            <w:r w:rsidR="00092E30">
              <w:rPr>
                <w:rFonts w:ascii="Calibri" w:hAnsi="Calibri" w:cs="Arial"/>
                <w:bCs/>
                <w:color w:val="2F5496" w:themeColor="accent5" w:themeShade="BF"/>
                <w:sz w:val="24"/>
                <w:szCs w:val="24"/>
              </w:rPr>
              <w:t>)</w:t>
            </w:r>
          </w:p>
        </w:tc>
      </w:tr>
      <w:tr w:rsidR="00C75E19" w:rsidRPr="00432E20" w:rsidTr="00F91A61">
        <w:tc>
          <w:tcPr>
            <w:tcW w:w="5954" w:type="dxa"/>
          </w:tcPr>
          <w:p w:rsidR="00C75E19" w:rsidRPr="00432E20" w:rsidRDefault="00C75E19" w:rsidP="00092E30">
            <w:pPr>
              <w:pStyle w:val="ListParagraph"/>
              <w:numPr>
                <w:ilvl w:val="0"/>
                <w:numId w:val="17"/>
              </w:numPr>
              <w:spacing w:line="360" w:lineRule="auto"/>
              <w:rPr>
                <w:rFonts w:ascii="Calibri" w:hAnsi="Calibri" w:cs="Arial"/>
                <w:sz w:val="24"/>
                <w:szCs w:val="24"/>
              </w:rPr>
            </w:pPr>
            <w:r w:rsidRPr="00432E20">
              <w:rPr>
                <w:rFonts w:ascii="Calibri" w:hAnsi="Calibri" w:cs="Arial"/>
                <w:sz w:val="24"/>
                <w:szCs w:val="24"/>
              </w:rPr>
              <w:t xml:space="preserve">Please state the total investment costs and fees for </w:t>
            </w:r>
            <w:r w:rsidR="00292E8D" w:rsidRPr="00432E20">
              <w:rPr>
                <w:rFonts w:ascii="Calibri" w:hAnsi="Calibri" w:cs="Arial"/>
                <w:sz w:val="24"/>
                <w:szCs w:val="24"/>
              </w:rPr>
              <w:t xml:space="preserve">each of </w:t>
            </w:r>
            <w:r w:rsidRPr="00432E20">
              <w:rPr>
                <w:rFonts w:ascii="Calibri" w:hAnsi="Calibri" w:cs="Arial"/>
                <w:sz w:val="24"/>
                <w:szCs w:val="24"/>
              </w:rPr>
              <w:t xml:space="preserve">the </w:t>
            </w:r>
            <w:r w:rsidR="00BB0E3C" w:rsidRPr="00432E20">
              <w:rPr>
                <w:rFonts w:ascii="Calibri" w:hAnsi="Calibri" w:cs="Arial"/>
                <w:sz w:val="24"/>
                <w:szCs w:val="24"/>
              </w:rPr>
              <w:t xml:space="preserve">authorities </w:t>
            </w:r>
            <w:r w:rsidRPr="00432E20">
              <w:rPr>
                <w:rFonts w:ascii="Calibri" w:hAnsi="Calibri" w:cs="Arial"/>
                <w:sz w:val="24"/>
                <w:szCs w:val="24"/>
              </w:rPr>
              <w:t xml:space="preserve">in the pool as at </w:t>
            </w:r>
            <w:r w:rsidR="0096101E" w:rsidRPr="00432E20">
              <w:rPr>
                <w:rFonts w:ascii="Calibri" w:hAnsi="Calibri" w:cs="Arial"/>
                <w:sz w:val="24"/>
                <w:szCs w:val="24"/>
              </w:rPr>
              <w:t>31.03.2015</w:t>
            </w:r>
            <w:r w:rsidR="00F91A61" w:rsidRPr="00432E20">
              <w:rPr>
                <w:rFonts w:ascii="Calibri" w:hAnsi="Calibri" w:cs="Arial"/>
                <w:sz w:val="24"/>
                <w:szCs w:val="24"/>
              </w:rPr>
              <w:t xml:space="preserve"> </w:t>
            </w:r>
            <w:r w:rsidRPr="00432E20">
              <w:rPr>
                <w:rFonts w:ascii="Calibri" w:hAnsi="Calibri" w:cs="Arial"/>
                <w:sz w:val="24"/>
                <w:szCs w:val="24"/>
              </w:rPr>
              <w:t xml:space="preserve">on a </w:t>
            </w:r>
            <w:r w:rsidR="000E3766" w:rsidRPr="00432E20">
              <w:rPr>
                <w:rFonts w:ascii="Calibri" w:hAnsi="Calibri" w:cs="Arial"/>
                <w:sz w:val="24"/>
                <w:szCs w:val="24"/>
              </w:rPr>
              <w:t xml:space="preserve">fully </w:t>
            </w:r>
            <w:r w:rsidRPr="00432E20">
              <w:rPr>
                <w:rFonts w:ascii="Calibri" w:hAnsi="Calibri" w:cs="Arial"/>
                <w:sz w:val="24"/>
                <w:szCs w:val="24"/>
              </w:rPr>
              <w:t>transparent basis</w:t>
            </w:r>
            <w:r w:rsidR="003E2035" w:rsidRPr="00432E20">
              <w:rPr>
                <w:rFonts w:ascii="Calibri" w:hAnsi="Calibri" w:cs="Arial"/>
                <w:sz w:val="24"/>
                <w:szCs w:val="24"/>
              </w:rPr>
              <w:t>.</w:t>
            </w:r>
          </w:p>
        </w:tc>
        <w:tc>
          <w:tcPr>
            <w:tcW w:w="3787" w:type="dxa"/>
          </w:tcPr>
          <w:p w:rsidR="00C75E19" w:rsidRDefault="00C75E19" w:rsidP="00C75E19">
            <w:pPr>
              <w:spacing w:line="360" w:lineRule="auto"/>
              <w:ind w:left="337"/>
              <w:rPr>
                <w:rFonts w:ascii="Calibri" w:hAnsi="Calibri" w:cs="Arial"/>
                <w:sz w:val="24"/>
                <w:szCs w:val="24"/>
              </w:rPr>
            </w:pPr>
          </w:p>
          <w:p w:rsidR="00092E30" w:rsidRPr="003D3964" w:rsidRDefault="00092E30" w:rsidP="00092E30">
            <w:pPr>
              <w:spacing w:line="360" w:lineRule="auto"/>
              <w:ind w:left="337"/>
              <w:rPr>
                <w:rFonts w:ascii="Calibri" w:hAnsi="Calibri" w:cs="Arial"/>
                <w:color w:val="0070C0"/>
                <w:sz w:val="24"/>
                <w:szCs w:val="24"/>
              </w:rPr>
            </w:pPr>
            <w:r w:rsidRPr="003D3964">
              <w:rPr>
                <w:rFonts w:ascii="Calibri" w:hAnsi="Calibri" w:cs="Arial"/>
                <w:color w:val="0070C0"/>
                <w:sz w:val="24"/>
                <w:szCs w:val="24"/>
              </w:rPr>
              <w:t>Awaiting CEM Benchmark data</w:t>
            </w:r>
          </w:p>
          <w:p w:rsidR="00092E30" w:rsidRPr="00432E20" w:rsidRDefault="00092E30" w:rsidP="00C75E19">
            <w:pPr>
              <w:spacing w:line="360" w:lineRule="auto"/>
              <w:ind w:left="337"/>
              <w:rPr>
                <w:rFonts w:ascii="Calibri" w:hAnsi="Calibri" w:cs="Arial"/>
                <w:sz w:val="24"/>
                <w:szCs w:val="24"/>
              </w:rPr>
            </w:pPr>
          </w:p>
        </w:tc>
      </w:tr>
      <w:tr w:rsidR="00C75E19" w:rsidRPr="00432E20" w:rsidTr="00F91A61">
        <w:tc>
          <w:tcPr>
            <w:tcW w:w="9741" w:type="dxa"/>
            <w:gridSpan w:val="2"/>
          </w:tcPr>
          <w:p w:rsidR="00C75E19" w:rsidRDefault="00C75E19" w:rsidP="00092E30">
            <w:pPr>
              <w:pStyle w:val="ListParagraph"/>
              <w:numPr>
                <w:ilvl w:val="0"/>
                <w:numId w:val="17"/>
              </w:numPr>
              <w:spacing w:line="360" w:lineRule="auto"/>
              <w:rPr>
                <w:rFonts w:ascii="Calibri" w:hAnsi="Calibri" w:cs="Arial"/>
                <w:sz w:val="24"/>
                <w:szCs w:val="24"/>
              </w:rPr>
            </w:pPr>
            <w:r w:rsidRPr="00432E20">
              <w:rPr>
                <w:rFonts w:ascii="Calibri" w:hAnsi="Calibri" w:cs="Arial"/>
                <w:sz w:val="24"/>
                <w:szCs w:val="24"/>
              </w:rPr>
              <w:t xml:space="preserve">Please list below any assumptions made for the purposes of </w:t>
            </w:r>
            <w:r w:rsidR="00BB0E3C" w:rsidRPr="00432E20">
              <w:rPr>
                <w:rFonts w:ascii="Calibri" w:hAnsi="Calibri" w:cs="Arial"/>
                <w:sz w:val="24"/>
                <w:szCs w:val="24"/>
              </w:rPr>
              <w:t xml:space="preserve">calculating </w:t>
            </w:r>
            <w:r w:rsidRPr="00432E20">
              <w:rPr>
                <w:rFonts w:ascii="Calibri" w:hAnsi="Calibri" w:cs="Arial"/>
                <w:sz w:val="24"/>
                <w:szCs w:val="24"/>
              </w:rPr>
              <w:t>the transparent costs quoted that differ from those listed in 1(</w:t>
            </w:r>
            <w:r w:rsidR="00BB0E3C" w:rsidRPr="00432E20">
              <w:rPr>
                <w:rFonts w:ascii="Calibri" w:hAnsi="Calibri" w:cs="Arial"/>
                <w:sz w:val="24"/>
                <w:szCs w:val="24"/>
              </w:rPr>
              <w:t>c</w:t>
            </w:r>
            <w:r w:rsidRPr="00432E20">
              <w:rPr>
                <w:rFonts w:ascii="Calibri" w:hAnsi="Calibri" w:cs="Arial"/>
                <w:sz w:val="24"/>
                <w:szCs w:val="24"/>
              </w:rPr>
              <w:t>) above</w:t>
            </w:r>
            <w:r w:rsidR="00A562A0" w:rsidRPr="00432E20">
              <w:rPr>
                <w:rFonts w:ascii="Calibri" w:hAnsi="Calibri" w:cs="Arial"/>
                <w:sz w:val="24"/>
                <w:szCs w:val="24"/>
              </w:rPr>
              <w:t>.</w:t>
            </w:r>
          </w:p>
          <w:p w:rsidR="00092E30" w:rsidRPr="00A70845" w:rsidRDefault="00092E30" w:rsidP="00092E30">
            <w:pPr>
              <w:spacing w:line="360" w:lineRule="auto"/>
              <w:ind w:left="1168"/>
              <w:rPr>
                <w:rFonts w:ascii="Calibri" w:hAnsi="Calibri" w:cs="Arial"/>
                <w:color w:val="2F5496" w:themeColor="accent5" w:themeShade="BF"/>
                <w:sz w:val="24"/>
                <w:szCs w:val="24"/>
              </w:rPr>
            </w:pPr>
            <w:r w:rsidRPr="00A70845">
              <w:rPr>
                <w:rFonts w:ascii="Calibri" w:hAnsi="Calibri" w:cs="Arial"/>
                <w:color w:val="2F5496" w:themeColor="accent5" w:themeShade="BF"/>
                <w:sz w:val="24"/>
                <w:szCs w:val="24"/>
              </w:rPr>
              <w:t xml:space="preserve">All </w:t>
            </w:r>
            <w:r w:rsidR="009F15E9">
              <w:rPr>
                <w:rFonts w:ascii="Calibri" w:hAnsi="Calibri" w:cs="Arial"/>
                <w:color w:val="2F5496" w:themeColor="accent5" w:themeShade="BF"/>
                <w:sz w:val="24"/>
                <w:szCs w:val="24"/>
              </w:rPr>
              <w:t>London Local Authorities</w:t>
            </w:r>
            <w:r w:rsidRPr="00A70845">
              <w:rPr>
                <w:rFonts w:ascii="Calibri" w:hAnsi="Calibri" w:cs="Arial"/>
                <w:color w:val="2F5496" w:themeColor="accent5" w:themeShade="BF"/>
                <w:sz w:val="24"/>
                <w:szCs w:val="24"/>
              </w:rPr>
              <w:t xml:space="preserve"> have provided data to CEM Benchmarking to ensure that costs are measured in the same way and to make investment costs fully transparent</w:t>
            </w:r>
          </w:p>
          <w:p w:rsidR="00092E30" w:rsidRPr="00432E20" w:rsidRDefault="00092E30" w:rsidP="00092E30">
            <w:pPr>
              <w:pStyle w:val="ListParagraph"/>
              <w:spacing w:line="360" w:lineRule="auto"/>
              <w:ind w:left="1440"/>
              <w:rPr>
                <w:rFonts w:ascii="Calibri" w:hAnsi="Calibri" w:cs="Arial"/>
                <w:sz w:val="24"/>
                <w:szCs w:val="24"/>
              </w:rPr>
            </w:pPr>
          </w:p>
        </w:tc>
      </w:tr>
    </w:tbl>
    <w:p w:rsidR="00C75E19" w:rsidRPr="00432E20" w:rsidRDefault="00C75E19" w:rsidP="00F91A61">
      <w:pPr>
        <w:spacing w:after="0" w:line="360" w:lineRule="auto"/>
        <w:rPr>
          <w:rFonts w:ascii="Calibri" w:hAnsi="Calibri" w:cs="Arial"/>
          <w:sz w:val="24"/>
          <w:szCs w:val="24"/>
        </w:rPr>
      </w:pPr>
    </w:p>
    <w:tbl>
      <w:tblPr>
        <w:tblStyle w:val="TableGrid"/>
        <w:tblW w:w="9781" w:type="dxa"/>
        <w:tblInd w:w="-5" w:type="dxa"/>
        <w:tblLook w:val="04A0" w:firstRow="1" w:lastRow="0" w:firstColumn="1" w:lastColumn="0" w:noHBand="0" w:noVBand="1"/>
      </w:tblPr>
      <w:tblGrid>
        <w:gridCol w:w="5954"/>
        <w:gridCol w:w="3827"/>
      </w:tblGrid>
      <w:tr w:rsidR="00C75E19" w:rsidRPr="00432E20" w:rsidTr="00F91A61">
        <w:tc>
          <w:tcPr>
            <w:tcW w:w="9781" w:type="dxa"/>
            <w:gridSpan w:val="2"/>
            <w:shd w:val="clear" w:color="auto" w:fill="000000" w:themeFill="text1"/>
          </w:tcPr>
          <w:p w:rsidR="00C75E19" w:rsidRPr="00432E20" w:rsidRDefault="00C75E19" w:rsidP="00092E30">
            <w:pPr>
              <w:pStyle w:val="ListParagraph"/>
              <w:numPr>
                <w:ilvl w:val="0"/>
                <w:numId w:val="15"/>
              </w:numPr>
              <w:spacing w:line="360" w:lineRule="auto"/>
              <w:ind w:left="743" w:hanging="426"/>
              <w:rPr>
                <w:rFonts w:ascii="Calibri" w:hAnsi="Calibri" w:cs="Arial"/>
                <w:b/>
                <w:color w:val="FFFFFF" w:themeColor="background1"/>
                <w:sz w:val="24"/>
                <w:szCs w:val="24"/>
              </w:rPr>
            </w:pPr>
            <w:r w:rsidRPr="00432E20">
              <w:rPr>
                <w:rFonts w:ascii="Calibri" w:hAnsi="Calibri" w:cs="Arial"/>
                <w:b/>
                <w:color w:val="FFFFFF" w:themeColor="background1"/>
                <w:sz w:val="24"/>
                <w:szCs w:val="24"/>
              </w:rPr>
              <w:t>A detailed estimate of savings over the next 15 years.</w:t>
            </w:r>
          </w:p>
        </w:tc>
      </w:tr>
      <w:tr w:rsidR="00C75E19" w:rsidRPr="00432E20" w:rsidTr="00F91A61">
        <w:tc>
          <w:tcPr>
            <w:tcW w:w="9781" w:type="dxa"/>
            <w:gridSpan w:val="2"/>
          </w:tcPr>
          <w:p w:rsidR="00C75E19" w:rsidRDefault="00C75E19" w:rsidP="00092E30">
            <w:pPr>
              <w:pStyle w:val="ListParagraph"/>
              <w:numPr>
                <w:ilvl w:val="0"/>
                <w:numId w:val="18"/>
              </w:numPr>
              <w:spacing w:line="360" w:lineRule="auto"/>
              <w:ind w:left="1451" w:hanging="425"/>
              <w:rPr>
                <w:rFonts w:ascii="Calibri" w:hAnsi="Calibri" w:cs="Arial"/>
                <w:sz w:val="24"/>
                <w:szCs w:val="24"/>
              </w:rPr>
            </w:pPr>
            <w:r w:rsidRPr="00432E20">
              <w:rPr>
                <w:rFonts w:ascii="Calibri" w:hAnsi="Calibri" w:cs="Arial"/>
                <w:sz w:val="24"/>
                <w:szCs w:val="24"/>
              </w:rPr>
              <w:t xml:space="preserve">Please provide a summary of the estimated </w:t>
            </w:r>
            <w:r w:rsidR="006F34CC" w:rsidRPr="00432E20">
              <w:rPr>
                <w:rFonts w:ascii="Calibri" w:hAnsi="Calibri" w:cs="Arial"/>
                <w:sz w:val="24"/>
                <w:szCs w:val="24"/>
              </w:rPr>
              <w:t>savings</w:t>
            </w:r>
            <w:r w:rsidR="00160090" w:rsidRPr="00432E20">
              <w:rPr>
                <w:rFonts w:ascii="Calibri" w:hAnsi="Calibri" w:cs="Arial"/>
                <w:sz w:val="24"/>
                <w:szCs w:val="24"/>
              </w:rPr>
              <w:t xml:space="preserve"> </w:t>
            </w:r>
            <w:r w:rsidR="006F34CC" w:rsidRPr="00432E20">
              <w:rPr>
                <w:rFonts w:ascii="Calibri" w:hAnsi="Calibri" w:cs="Arial"/>
                <w:sz w:val="24"/>
                <w:szCs w:val="24"/>
              </w:rPr>
              <w:t>(per annum)</w:t>
            </w:r>
            <w:r w:rsidRPr="00432E20">
              <w:rPr>
                <w:rFonts w:ascii="Calibri" w:hAnsi="Calibri" w:cs="Arial"/>
                <w:sz w:val="24"/>
                <w:szCs w:val="24"/>
              </w:rPr>
              <w:t xml:space="preserve"> to be </w:t>
            </w:r>
            <w:r w:rsidR="006F34CC" w:rsidRPr="00432E20">
              <w:rPr>
                <w:rFonts w:ascii="Calibri" w:hAnsi="Calibri" w:cs="Arial"/>
                <w:sz w:val="24"/>
                <w:szCs w:val="24"/>
              </w:rPr>
              <w:t>achieved by</w:t>
            </w:r>
            <w:r w:rsidRPr="00432E20">
              <w:rPr>
                <w:rFonts w:ascii="Calibri" w:hAnsi="Calibri" w:cs="Arial"/>
                <w:sz w:val="24"/>
                <w:szCs w:val="24"/>
              </w:rPr>
              <w:t xml:space="preserve"> </w:t>
            </w:r>
            <w:r w:rsidR="002917FE" w:rsidRPr="00432E20">
              <w:rPr>
                <w:rFonts w:ascii="Calibri" w:hAnsi="Calibri" w:cs="Arial"/>
                <w:sz w:val="24"/>
                <w:szCs w:val="24"/>
              </w:rPr>
              <w:t xml:space="preserve">each of </w:t>
            </w:r>
            <w:r w:rsidRPr="00432E20">
              <w:rPr>
                <w:rFonts w:ascii="Calibri" w:hAnsi="Calibri" w:cs="Arial"/>
                <w:sz w:val="24"/>
                <w:szCs w:val="24"/>
              </w:rPr>
              <w:t xml:space="preserve">the </w:t>
            </w:r>
            <w:r w:rsidR="002917FE" w:rsidRPr="00432E20">
              <w:rPr>
                <w:rFonts w:ascii="Calibri" w:hAnsi="Calibri" w:cs="Arial"/>
                <w:sz w:val="24"/>
                <w:szCs w:val="24"/>
              </w:rPr>
              <w:t xml:space="preserve">authorities in the </w:t>
            </w:r>
            <w:r w:rsidRPr="00432E20">
              <w:rPr>
                <w:rFonts w:ascii="Calibri" w:hAnsi="Calibri" w:cs="Arial"/>
                <w:sz w:val="24"/>
                <w:szCs w:val="24"/>
              </w:rPr>
              <w:t xml:space="preserve">pool at the end of each </w:t>
            </w:r>
            <w:r w:rsidR="00172B45" w:rsidRPr="00432E20">
              <w:rPr>
                <w:rFonts w:ascii="Calibri" w:hAnsi="Calibri" w:cs="Arial"/>
                <w:sz w:val="24"/>
                <w:szCs w:val="24"/>
              </w:rPr>
              <w:t xml:space="preserve">3 </w:t>
            </w:r>
            <w:r w:rsidRPr="00432E20">
              <w:rPr>
                <w:rFonts w:ascii="Calibri" w:hAnsi="Calibri" w:cs="Arial"/>
                <w:sz w:val="24"/>
                <w:szCs w:val="24"/>
              </w:rPr>
              <w:t xml:space="preserve">year period starting from </w:t>
            </w:r>
            <w:r w:rsidR="000168E3" w:rsidRPr="00432E20">
              <w:rPr>
                <w:rFonts w:ascii="Calibri" w:hAnsi="Calibri" w:cs="Arial"/>
                <w:sz w:val="24"/>
                <w:szCs w:val="24"/>
              </w:rPr>
              <w:t>01.04.</w:t>
            </w:r>
            <w:r w:rsidRPr="00432E20">
              <w:rPr>
                <w:rFonts w:ascii="Calibri" w:hAnsi="Calibri" w:cs="Arial"/>
                <w:sz w:val="24"/>
                <w:szCs w:val="24"/>
              </w:rPr>
              <w:t>2018.</w:t>
            </w:r>
          </w:p>
          <w:p w:rsidR="00092E30" w:rsidRPr="00432E20" w:rsidRDefault="00092E30" w:rsidP="00092E30">
            <w:pPr>
              <w:pStyle w:val="ListParagraph"/>
              <w:spacing w:line="360" w:lineRule="auto"/>
              <w:ind w:left="1451"/>
              <w:rPr>
                <w:rFonts w:ascii="Calibri" w:hAnsi="Calibri" w:cs="Arial"/>
                <w:sz w:val="24"/>
                <w:szCs w:val="24"/>
              </w:rPr>
            </w:pPr>
            <w:r w:rsidRPr="004F3A90">
              <w:rPr>
                <w:rFonts w:ascii="Calibri" w:hAnsi="Calibri" w:cs="Arial"/>
                <w:color w:val="FF0000"/>
                <w:sz w:val="24"/>
                <w:szCs w:val="24"/>
              </w:rPr>
              <w:t>Currently Work in progress, also pending data received from CEM</w:t>
            </w:r>
          </w:p>
        </w:tc>
      </w:tr>
      <w:tr w:rsidR="00C75E19" w:rsidRPr="00432E20" w:rsidTr="00F91A61">
        <w:tc>
          <w:tcPr>
            <w:tcW w:w="9781" w:type="dxa"/>
            <w:gridSpan w:val="2"/>
          </w:tcPr>
          <w:p w:rsidR="00C75E19" w:rsidRDefault="00C75E19" w:rsidP="006F34CC">
            <w:pPr>
              <w:spacing w:line="360" w:lineRule="auto"/>
              <w:ind w:left="1026"/>
              <w:rPr>
                <w:rFonts w:ascii="Calibri" w:hAnsi="Calibri" w:cs="Arial"/>
                <w:sz w:val="24"/>
                <w:szCs w:val="24"/>
              </w:rPr>
            </w:pPr>
            <w:r w:rsidRPr="00432E20">
              <w:rPr>
                <w:rFonts w:ascii="Calibri" w:hAnsi="Calibri" w:cs="Arial"/>
                <w:sz w:val="24"/>
                <w:szCs w:val="24"/>
              </w:rPr>
              <w:t xml:space="preserve">Total value of </w:t>
            </w:r>
            <w:r w:rsidR="006F34CC" w:rsidRPr="00432E20">
              <w:rPr>
                <w:rFonts w:ascii="Calibri" w:hAnsi="Calibri" w:cs="Arial"/>
                <w:sz w:val="24"/>
                <w:szCs w:val="24"/>
              </w:rPr>
              <w:t>savings</w:t>
            </w:r>
            <w:r w:rsidRPr="00432E20">
              <w:rPr>
                <w:rFonts w:ascii="Calibri" w:hAnsi="Calibri" w:cs="Arial"/>
                <w:sz w:val="24"/>
                <w:szCs w:val="24"/>
              </w:rPr>
              <w:t xml:space="preserve"> </w:t>
            </w:r>
            <w:r w:rsidR="006F34CC" w:rsidRPr="00432E20">
              <w:rPr>
                <w:rFonts w:ascii="Calibri" w:hAnsi="Calibri" w:cs="Arial"/>
                <w:sz w:val="24"/>
                <w:szCs w:val="24"/>
              </w:rPr>
              <w:t xml:space="preserve">(per annum) </w:t>
            </w:r>
            <w:r w:rsidRPr="00432E20">
              <w:rPr>
                <w:rFonts w:ascii="Calibri" w:hAnsi="Calibri" w:cs="Arial"/>
                <w:sz w:val="24"/>
                <w:szCs w:val="24"/>
              </w:rPr>
              <w:t xml:space="preserve">estimated to </w:t>
            </w:r>
            <w:r w:rsidR="006F34CC" w:rsidRPr="00432E20">
              <w:rPr>
                <w:rFonts w:ascii="Calibri" w:hAnsi="Calibri" w:cs="Arial"/>
                <w:sz w:val="24"/>
                <w:szCs w:val="24"/>
              </w:rPr>
              <w:t xml:space="preserve">be achieved by </w:t>
            </w:r>
            <w:r w:rsidR="002917FE" w:rsidRPr="00432E20">
              <w:rPr>
                <w:rFonts w:ascii="Calibri" w:hAnsi="Calibri" w:cs="Arial"/>
                <w:sz w:val="24"/>
                <w:szCs w:val="24"/>
              </w:rPr>
              <w:t xml:space="preserve">each of the authorities in </w:t>
            </w:r>
            <w:r w:rsidR="006F34CC" w:rsidRPr="00432E20">
              <w:rPr>
                <w:rFonts w:ascii="Calibri" w:hAnsi="Calibri" w:cs="Arial"/>
                <w:sz w:val="24"/>
                <w:szCs w:val="24"/>
              </w:rPr>
              <w:t xml:space="preserve">the </w:t>
            </w:r>
            <w:r w:rsidRPr="00432E20">
              <w:rPr>
                <w:rFonts w:ascii="Calibri" w:hAnsi="Calibri" w:cs="Arial"/>
                <w:sz w:val="24"/>
                <w:szCs w:val="24"/>
              </w:rPr>
              <w:t>pool as at</w:t>
            </w:r>
          </w:p>
          <w:p w:rsidR="004C181B" w:rsidRPr="00202A2A" w:rsidRDefault="004C181B" w:rsidP="004C181B">
            <w:pPr>
              <w:spacing w:line="360" w:lineRule="auto"/>
              <w:ind w:left="727"/>
              <w:rPr>
                <w:rFonts w:ascii="Calibri" w:hAnsi="Calibri" w:cs="Arial"/>
                <w:b/>
                <w:color w:val="FF0000"/>
                <w:sz w:val="24"/>
                <w:szCs w:val="24"/>
              </w:rPr>
            </w:pPr>
            <w:r>
              <w:rPr>
                <w:rFonts w:ascii="Calibri" w:hAnsi="Calibri" w:cs="Arial"/>
                <w:b/>
                <w:color w:val="FF0000"/>
                <w:sz w:val="24"/>
                <w:szCs w:val="24"/>
              </w:rPr>
              <w:t>Please note that of necessity any forecasts have to be heavily caveated due to the fact that it will depend on the timing of assets being transferred, the ability to source and implement sub-funds, the complexity of the requirements for different assets classes including that of infrastructure. It also assumes that AUM will continue to grow steadily but this will be heavily dependent on market movements and also the structures for local government going forwards, how quickly individual funds become cashflow negative and also any future changes to the benefit and cost structure of the LGPS.</w:t>
            </w:r>
          </w:p>
          <w:p w:rsidR="004C181B" w:rsidRPr="004C181B" w:rsidRDefault="004C181B" w:rsidP="006F34CC">
            <w:pPr>
              <w:spacing w:line="360" w:lineRule="auto"/>
              <w:ind w:left="1026"/>
              <w:rPr>
                <w:rFonts w:ascii="Calibri" w:hAnsi="Calibri" w:cs="Arial"/>
                <w:color w:val="FF0000"/>
                <w:sz w:val="24"/>
                <w:szCs w:val="24"/>
              </w:rPr>
            </w:pPr>
          </w:p>
          <w:p w:rsidR="00C75E19" w:rsidRPr="00432E20" w:rsidRDefault="00C75E19" w:rsidP="006F34CC">
            <w:pPr>
              <w:spacing w:line="360" w:lineRule="auto"/>
              <w:ind w:left="1026"/>
              <w:rPr>
                <w:rFonts w:ascii="Calibri" w:hAnsi="Calibri" w:cs="Arial"/>
                <w:sz w:val="24"/>
                <w:szCs w:val="24"/>
              </w:rPr>
            </w:pPr>
            <w:r w:rsidRPr="00432E20">
              <w:rPr>
                <w:rFonts w:ascii="Calibri" w:hAnsi="Calibri" w:cs="Arial"/>
                <w:sz w:val="24"/>
                <w:szCs w:val="24"/>
              </w:rPr>
              <w:t>31.3.20</w:t>
            </w:r>
            <w:r w:rsidR="00172B45" w:rsidRPr="00432E20">
              <w:rPr>
                <w:rFonts w:ascii="Calibri" w:hAnsi="Calibri" w:cs="Arial"/>
                <w:sz w:val="24"/>
                <w:szCs w:val="24"/>
              </w:rPr>
              <w:t>21</w:t>
            </w:r>
            <w:r w:rsidRPr="00432E20">
              <w:rPr>
                <w:rFonts w:ascii="Calibri" w:hAnsi="Calibri" w:cs="Arial"/>
                <w:sz w:val="24"/>
                <w:szCs w:val="24"/>
              </w:rPr>
              <w:t xml:space="preserve">: </w:t>
            </w:r>
            <w:r w:rsidR="000D0959" w:rsidRPr="00432E20">
              <w:rPr>
                <w:rFonts w:ascii="Calibri" w:hAnsi="Calibri" w:cs="Arial"/>
                <w:sz w:val="24"/>
                <w:szCs w:val="24"/>
              </w:rPr>
              <w:t>£</w:t>
            </w:r>
          </w:p>
          <w:p w:rsidR="00C75E19" w:rsidRPr="00432E20" w:rsidRDefault="00C75E19" w:rsidP="006F34CC">
            <w:pPr>
              <w:spacing w:line="360" w:lineRule="auto"/>
              <w:ind w:left="1026"/>
              <w:rPr>
                <w:rFonts w:ascii="Calibri" w:hAnsi="Calibri" w:cs="Arial"/>
                <w:sz w:val="24"/>
                <w:szCs w:val="24"/>
              </w:rPr>
            </w:pPr>
            <w:r w:rsidRPr="00432E20">
              <w:rPr>
                <w:rFonts w:ascii="Calibri" w:hAnsi="Calibri" w:cs="Arial"/>
                <w:sz w:val="24"/>
                <w:szCs w:val="24"/>
              </w:rPr>
              <w:t>31.3.20</w:t>
            </w:r>
            <w:r w:rsidR="000D0959" w:rsidRPr="00432E20">
              <w:rPr>
                <w:rFonts w:ascii="Calibri" w:hAnsi="Calibri" w:cs="Arial"/>
                <w:sz w:val="24"/>
                <w:szCs w:val="24"/>
              </w:rPr>
              <w:t>24</w:t>
            </w:r>
            <w:r w:rsidRPr="00432E20">
              <w:rPr>
                <w:rFonts w:ascii="Calibri" w:hAnsi="Calibri" w:cs="Arial"/>
                <w:sz w:val="24"/>
                <w:szCs w:val="24"/>
              </w:rPr>
              <w:t xml:space="preserve">: </w:t>
            </w:r>
            <w:r w:rsidR="000D0959" w:rsidRPr="00432E20">
              <w:rPr>
                <w:rFonts w:ascii="Calibri" w:hAnsi="Calibri" w:cs="Arial"/>
                <w:sz w:val="24"/>
                <w:szCs w:val="24"/>
              </w:rPr>
              <w:t>£</w:t>
            </w:r>
          </w:p>
          <w:p w:rsidR="00C75E19" w:rsidRPr="00432E20" w:rsidRDefault="00C75E19" w:rsidP="006F34CC">
            <w:pPr>
              <w:spacing w:line="360" w:lineRule="auto"/>
              <w:ind w:left="1026"/>
              <w:rPr>
                <w:rFonts w:ascii="Calibri" w:hAnsi="Calibri" w:cs="Arial"/>
                <w:sz w:val="24"/>
                <w:szCs w:val="24"/>
              </w:rPr>
            </w:pPr>
            <w:r w:rsidRPr="00432E20">
              <w:rPr>
                <w:rFonts w:ascii="Calibri" w:hAnsi="Calibri" w:cs="Arial"/>
                <w:sz w:val="24"/>
                <w:szCs w:val="24"/>
              </w:rPr>
              <w:t>31.3.20</w:t>
            </w:r>
            <w:r w:rsidR="000D0959" w:rsidRPr="00432E20">
              <w:rPr>
                <w:rFonts w:ascii="Calibri" w:hAnsi="Calibri" w:cs="Arial"/>
                <w:sz w:val="24"/>
                <w:szCs w:val="24"/>
              </w:rPr>
              <w:t>27</w:t>
            </w:r>
            <w:r w:rsidRPr="00432E20">
              <w:rPr>
                <w:rFonts w:ascii="Calibri" w:hAnsi="Calibri" w:cs="Arial"/>
                <w:sz w:val="24"/>
                <w:szCs w:val="24"/>
              </w:rPr>
              <w:t xml:space="preserve">: </w:t>
            </w:r>
            <w:r w:rsidR="000D0959" w:rsidRPr="00432E20">
              <w:rPr>
                <w:rFonts w:ascii="Calibri" w:hAnsi="Calibri" w:cs="Arial"/>
                <w:sz w:val="24"/>
                <w:szCs w:val="24"/>
              </w:rPr>
              <w:t>£</w:t>
            </w:r>
          </w:p>
          <w:p w:rsidR="00C75E19" w:rsidRPr="00432E20" w:rsidRDefault="00C75E19" w:rsidP="006F34CC">
            <w:pPr>
              <w:spacing w:line="360" w:lineRule="auto"/>
              <w:ind w:left="1026"/>
              <w:rPr>
                <w:rFonts w:ascii="Calibri" w:hAnsi="Calibri" w:cs="Arial"/>
                <w:sz w:val="24"/>
                <w:szCs w:val="24"/>
              </w:rPr>
            </w:pPr>
            <w:r w:rsidRPr="00432E20">
              <w:rPr>
                <w:rFonts w:ascii="Calibri" w:hAnsi="Calibri" w:cs="Arial"/>
                <w:sz w:val="24"/>
                <w:szCs w:val="24"/>
              </w:rPr>
              <w:t>31.3.20</w:t>
            </w:r>
            <w:r w:rsidR="000D0959" w:rsidRPr="00432E20">
              <w:rPr>
                <w:rFonts w:ascii="Calibri" w:hAnsi="Calibri" w:cs="Arial"/>
                <w:sz w:val="24"/>
                <w:szCs w:val="24"/>
              </w:rPr>
              <w:t>30</w:t>
            </w:r>
            <w:r w:rsidRPr="00432E20">
              <w:rPr>
                <w:rFonts w:ascii="Calibri" w:hAnsi="Calibri" w:cs="Arial"/>
                <w:sz w:val="24"/>
                <w:szCs w:val="24"/>
              </w:rPr>
              <w:t xml:space="preserve">: </w:t>
            </w:r>
            <w:r w:rsidR="000D0959" w:rsidRPr="00432E20">
              <w:rPr>
                <w:rFonts w:ascii="Calibri" w:hAnsi="Calibri" w:cs="Arial"/>
                <w:sz w:val="24"/>
                <w:szCs w:val="24"/>
              </w:rPr>
              <w:t>£</w:t>
            </w:r>
          </w:p>
          <w:p w:rsidR="009323F0" w:rsidRPr="00432E20" w:rsidRDefault="00C75E19" w:rsidP="006F34CC">
            <w:pPr>
              <w:spacing w:line="360" w:lineRule="auto"/>
              <w:ind w:left="1026"/>
              <w:rPr>
                <w:rFonts w:ascii="Calibri" w:hAnsi="Calibri" w:cs="Arial"/>
                <w:sz w:val="24"/>
                <w:szCs w:val="24"/>
              </w:rPr>
            </w:pPr>
            <w:r w:rsidRPr="00432E20">
              <w:rPr>
                <w:rFonts w:ascii="Calibri" w:hAnsi="Calibri" w:cs="Arial"/>
                <w:sz w:val="24"/>
                <w:szCs w:val="24"/>
              </w:rPr>
              <w:t>31.3.20</w:t>
            </w:r>
            <w:r w:rsidR="000D0959" w:rsidRPr="00432E20">
              <w:rPr>
                <w:rFonts w:ascii="Calibri" w:hAnsi="Calibri" w:cs="Arial"/>
                <w:sz w:val="24"/>
                <w:szCs w:val="24"/>
              </w:rPr>
              <w:t>33</w:t>
            </w:r>
            <w:r w:rsidRPr="00432E20">
              <w:rPr>
                <w:rFonts w:ascii="Calibri" w:hAnsi="Calibri" w:cs="Arial"/>
                <w:sz w:val="24"/>
                <w:szCs w:val="24"/>
              </w:rPr>
              <w:t xml:space="preserve">: </w:t>
            </w:r>
            <w:r w:rsidR="000D0959" w:rsidRPr="00432E20">
              <w:rPr>
                <w:rFonts w:ascii="Calibri" w:hAnsi="Calibri" w:cs="Arial"/>
                <w:sz w:val="24"/>
                <w:szCs w:val="24"/>
              </w:rPr>
              <w:t>£</w:t>
            </w:r>
          </w:p>
        </w:tc>
      </w:tr>
      <w:tr w:rsidR="006F34CC" w:rsidRPr="00432E20" w:rsidTr="00F91A61">
        <w:tc>
          <w:tcPr>
            <w:tcW w:w="9781" w:type="dxa"/>
            <w:gridSpan w:val="2"/>
          </w:tcPr>
          <w:p w:rsidR="006F34CC" w:rsidRDefault="006F34CC" w:rsidP="00092E30">
            <w:pPr>
              <w:pStyle w:val="ListParagraph"/>
              <w:numPr>
                <w:ilvl w:val="0"/>
                <w:numId w:val="18"/>
              </w:numPr>
              <w:spacing w:line="360" w:lineRule="auto"/>
              <w:ind w:left="1451" w:hanging="425"/>
              <w:rPr>
                <w:rFonts w:ascii="Calibri" w:hAnsi="Calibri" w:cs="Arial"/>
                <w:sz w:val="24"/>
                <w:szCs w:val="24"/>
              </w:rPr>
            </w:pPr>
            <w:r w:rsidRPr="00432E20">
              <w:rPr>
                <w:rFonts w:ascii="Calibri" w:hAnsi="Calibri" w:cs="Arial"/>
                <w:sz w:val="24"/>
                <w:szCs w:val="24"/>
              </w:rPr>
              <w:t xml:space="preserve">Please list below the assumptions made in </w:t>
            </w:r>
            <w:r w:rsidR="00764A8D" w:rsidRPr="00432E20">
              <w:rPr>
                <w:rFonts w:ascii="Calibri" w:hAnsi="Calibri" w:cs="Arial"/>
                <w:sz w:val="24"/>
                <w:szCs w:val="24"/>
              </w:rPr>
              <w:t>estimating the</w:t>
            </w:r>
            <w:r w:rsidRPr="00432E20">
              <w:rPr>
                <w:rFonts w:ascii="Calibri" w:hAnsi="Calibri" w:cs="Arial"/>
                <w:sz w:val="24"/>
                <w:szCs w:val="24"/>
              </w:rPr>
              <w:t xml:space="preserve"> savings stated above (for example if you have used a standard assumption for fee savings in asset class please state the assumption and the rationale behind it)</w:t>
            </w:r>
            <w:r w:rsidR="00292B56" w:rsidRPr="00432E20">
              <w:rPr>
                <w:rFonts w:ascii="Calibri" w:hAnsi="Calibri" w:cs="Arial"/>
                <w:sz w:val="24"/>
                <w:szCs w:val="24"/>
              </w:rPr>
              <w:t>.</w:t>
            </w:r>
          </w:p>
          <w:p w:rsidR="004C181B" w:rsidRPr="004C181B" w:rsidRDefault="004C181B" w:rsidP="004C181B">
            <w:pPr>
              <w:pStyle w:val="ListParagraph"/>
              <w:spacing w:line="360" w:lineRule="auto"/>
              <w:ind w:left="1451"/>
              <w:rPr>
                <w:rFonts w:ascii="Calibri" w:hAnsi="Calibri" w:cs="Arial"/>
                <w:color w:val="FF0000"/>
                <w:sz w:val="24"/>
                <w:szCs w:val="24"/>
              </w:rPr>
            </w:pPr>
            <w:r>
              <w:rPr>
                <w:rFonts w:ascii="Calibri" w:hAnsi="Calibri" w:cs="Arial"/>
                <w:color w:val="FF0000"/>
                <w:sz w:val="24"/>
                <w:szCs w:val="24"/>
              </w:rPr>
              <w:t>Standard assumptions based on asset class currently being worked through.</w:t>
            </w:r>
          </w:p>
        </w:tc>
      </w:tr>
      <w:tr w:rsidR="00764A8D" w:rsidRPr="00432E20" w:rsidTr="00F91A61">
        <w:tc>
          <w:tcPr>
            <w:tcW w:w="5954" w:type="dxa"/>
          </w:tcPr>
          <w:p w:rsidR="00764A8D" w:rsidRPr="00432E20" w:rsidRDefault="00764A8D" w:rsidP="00367349">
            <w:pPr>
              <w:spacing w:line="360" w:lineRule="auto"/>
              <w:ind w:left="1010"/>
              <w:rPr>
                <w:rFonts w:ascii="Calibri" w:hAnsi="Calibri" w:cs="Arial"/>
                <w:sz w:val="24"/>
                <w:szCs w:val="24"/>
              </w:rPr>
            </w:pPr>
            <w:r w:rsidRPr="00432E20">
              <w:rPr>
                <w:rFonts w:ascii="Calibri" w:hAnsi="Calibri" w:cs="Arial"/>
                <w:sz w:val="24"/>
                <w:szCs w:val="24"/>
              </w:rPr>
              <w:t>(c) Alternatively you may attach an ANNEX showing the assumptions and rationale made in estimating the savings shown</w:t>
            </w:r>
            <w:r w:rsidR="00292B56" w:rsidRPr="00432E20">
              <w:rPr>
                <w:rFonts w:ascii="Calibri" w:hAnsi="Calibri" w:cs="Arial"/>
                <w:sz w:val="24"/>
                <w:szCs w:val="24"/>
              </w:rPr>
              <w:t>.</w:t>
            </w:r>
          </w:p>
        </w:tc>
        <w:tc>
          <w:tcPr>
            <w:tcW w:w="3827" w:type="dxa"/>
          </w:tcPr>
          <w:p w:rsidR="00764A8D" w:rsidRPr="00432E20" w:rsidRDefault="00764A8D" w:rsidP="00367349">
            <w:pPr>
              <w:spacing w:line="360" w:lineRule="auto"/>
              <w:rPr>
                <w:rFonts w:ascii="Calibri" w:hAnsi="Calibri" w:cs="Arial"/>
                <w:sz w:val="24"/>
                <w:szCs w:val="24"/>
              </w:rPr>
            </w:pPr>
            <w:r w:rsidRPr="00432E20">
              <w:rPr>
                <w:rFonts w:ascii="Calibri" w:hAnsi="Calibri" w:cs="Arial"/>
                <w:sz w:val="24"/>
                <w:szCs w:val="24"/>
              </w:rPr>
              <w:t>Attached as ANNEX number</w:t>
            </w:r>
          </w:p>
        </w:tc>
      </w:tr>
    </w:tbl>
    <w:p w:rsidR="00367349" w:rsidRPr="00432E20" w:rsidRDefault="00367349" w:rsidP="00367349">
      <w:pPr>
        <w:spacing w:after="0" w:line="360" w:lineRule="auto"/>
        <w:rPr>
          <w:rFonts w:ascii="Calibri" w:hAnsi="Calibri" w:cs="Arial"/>
          <w:sz w:val="24"/>
          <w:szCs w:val="24"/>
        </w:rPr>
      </w:pPr>
    </w:p>
    <w:tbl>
      <w:tblPr>
        <w:tblStyle w:val="TableGrid"/>
        <w:tblW w:w="9781" w:type="dxa"/>
        <w:tblInd w:w="-5" w:type="dxa"/>
        <w:tblLook w:val="04A0" w:firstRow="1" w:lastRow="0" w:firstColumn="1" w:lastColumn="0" w:noHBand="0" w:noVBand="1"/>
      </w:tblPr>
      <w:tblGrid>
        <w:gridCol w:w="5954"/>
        <w:gridCol w:w="3827"/>
      </w:tblGrid>
      <w:tr w:rsidR="00367349" w:rsidRPr="00432E20" w:rsidTr="00412637">
        <w:tc>
          <w:tcPr>
            <w:tcW w:w="9781" w:type="dxa"/>
            <w:gridSpan w:val="2"/>
            <w:shd w:val="clear" w:color="auto" w:fill="000000" w:themeFill="text1"/>
          </w:tcPr>
          <w:p w:rsidR="00367349" w:rsidRPr="00432E20" w:rsidRDefault="00367349" w:rsidP="00092E30">
            <w:pPr>
              <w:pStyle w:val="ListParagraph"/>
              <w:numPr>
                <w:ilvl w:val="0"/>
                <w:numId w:val="15"/>
              </w:numPr>
              <w:spacing w:line="360" w:lineRule="auto"/>
              <w:rPr>
                <w:rFonts w:ascii="Calibri" w:hAnsi="Calibri" w:cs="Arial"/>
                <w:b/>
                <w:sz w:val="24"/>
                <w:szCs w:val="24"/>
              </w:rPr>
            </w:pPr>
            <w:r w:rsidRPr="00432E20">
              <w:rPr>
                <w:rFonts w:ascii="Calibri" w:hAnsi="Calibri" w:cs="Arial"/>
                <w:b/>
                <w:sz w:val="24"/>
                <w:szCs w:val="24"/>
              </w:rPr>
              <w:t xml:space="preserve">A detailed estimate of implementation costs and when they will arise, including transition costs as assets are migrated into the pool, and an explanation of how </w:t>
            </w:r>
            <w:r w:rsidRPr="00432E20">
              <w:rPr>
                <w:rFonts w:ascii="Calibri" w:hAnsi="Calibri" w:cs="Arial"/>
                <w:b/>
                <w:sz w:val="24"/>
                <w:szCs w:val="24"/>
              </w:rPr>
              <w:lastRenderedPageBreak/>
              <w:t>these costs will be met.</w:t>
            </w:r>
            <w:r w:rsidRPr="00432E20">
              <w:rPr>
                <w:rFonts w:ascii="Calibri" w:hAnsi="Calibri" w:cs="Arial"/>
                <w:b/>
                <w:sz w:val="24"/>
                <w:szCs w:val="24"/>
              </w:rPr>
              <w:tab/>
            </w:r>
          </w:p>
        </w:tc>
      </w:tr>
      <w:tr w:rsidR="00367349" w:rsidRPr="00432E20" w:rsidTr="00412637">
        <w:tc>
          <w:tcPr>
            <w:tcW w:w="9781" w:type="dxa"/>
            <w:gridSpan w:val="2"/>
          </w:tcPr>
          <w:p w:rsidR="00367349" w:rsidRDefault="00367349" w:rsidP="00092E30">
            <w:pPr>
              <w:pStyle w:val="ListParagraph"/>
              <w:numPr>
                <w:ilvl w:val="0"/>
                <w:numId w:val="19"/>
              </w:numPr>
              <w:spacing w:line="360" w:lineRule="auto"/>
              <w:ind w:left="1310" w:hanging="284"/>
              <w:rPr>
                <w:rFonts w:ascii="Calibri" w:hAnsi="Calibri" w:cs="Arial"/>
                <w:sz w:val="24"/>
                <w:szCs w:val="24"/>
              </w:rPr>
            </w:pPr>
            <w:r w:rsidRPr="00432E20">
              <w:rPr>
                <w:rFonts w:ascii="Calibri" w:hAnsi="Calibri" w:cs="Arial"/>
                <w:sz w:val="24"/>
                <w:szCs w:val="24"/>
              </w:rPr>
              <w:lastRenderedPageBreak/>
              <w:t xml:space="preserve">Please provide a summary of </w:t>
            </w:r>
            <w:r w:rsidR="00160090" w:rsidRPr="00432E20">
              <w:rPr>
                <w:rFonts w:ascii="Calibri" w:hAnsi="Calibri" w:cs="Arial"/>
                <w:sz w:val="24"/>
                <w:szCs w:val="24"/>
              </w:rPr>
              <w:t xml:space="preserve">estimated </w:t>
            </w:r>
            <w:r w:rsidR="00F73282" w:rsidRPr="00432E20">
              <w:rPr>
                <w:rFonts w:ascii="Calibri" w:hAnsi="Calibri" w:cs="Arial"/>
                <w:sz w:val="24"/>
                <w:szCs w:val="24"/>
              </w:rPr>
              <w:t>implementation costs</w:t>
            </w:r>
            <w:r w:rsidR="002917FE" w:rsidRPr="00432E20">
              <w:rPr>
                <w:rFonts w:ascii="Calibri" w:hAnsi="Calibri" w:cs="Arial"/>
                <w:sz w:val="24"/>
                <w:szCs w:val="24"/>
              </w:rPr>
              <w:t>,</w:t>
            </w:r>
            <w:r w:rsidR="00F73282" w:rsidRPr="00432E20">
              <w:rPr>
                <w:rFonts w:ascii="Calibri" w:hAnsi="Calibri" w:cs="Arial"/>
                <w:sz w:val="24"/>
                <w:szCs w:val="24"/>
              </w:rPr>
              <w:t xml:space="preserve"> includ</w:t>
            </w:r>
            <w:r w:rsidR="002917FE" w:rsidRPr="00432E20">
              <w:rPr>
                <w:rFonts w:ascii="Calibri" w:hAnsi="Calibri" w:cs="Arial"/>
                <w:sz w:val="24"/>
                <w:szCs w:val="24"/>
              </w:rPr>
              <w:t>ing</w:t>
            </w:r>
            <w:r w:rsidR="00F73282" w:rsidRPr="00432E20">
              <w:rPr>
                <w:rFonts w:ascii="Calibri" w:hAnsi="Calibri" w:cs="Arial"/>
                <w:sz w:val="24"/>
                <w:szCs w:val="24"/>
              </w:rPr>
              <w:t xml:space="preserve"> but not limited to legal, project management, financial advice, structure set</w:t>
            </w:r>
            <w:r w:rsidR="002917FE" w:rsidRPr="00432E20">
              <w:rPr>
                <w:rFonts w:ascii="Calibri" w:hAnsi="Calibri" w:cs="Arial"/>
                <w:sz w:val="24"/>
                <w:szCs w:val="24"/>
              </w:rPr>
              <w:t>-</w:t>
            </w:r>
            <w:r w:rsidR="00F73282" w:rsidRPr="00432E20">
              <w:rPr>
                <w:rFonts w:ascii="Calibri" w:hAnsi="Calibri" w:cs="Arial"/>
                <w:sz w:val="24"/>
                <w:szCs w:val="24"/>
              </w:rPr>
              <w:t>up</w:t>
            </w:r>
            <w:r w:rsidR="002917FE" w:rsidRPr="00432E20">
              <w:rPr>
                <w:rFonts w:ascii="Calibri" w:hAnsi="Calibri" w:cs="Arial"/>
                <w:sz w:val="24"/>
                <w:szCs w:val="24"/>
              </w:rPr>
              <w:t xml:space="preserve"> and</w:t>
            </w:r>
            <w:r w:rsidR="00F73282" w:rsidRPr="00432E20">
              <w:rPr>
                <w:rFonts w:ascii="Calibri" w:hAnsi="Calibri" w:cs="Arial"/>
                <w:sz w:val="24"/>
                <w:szCs w:val="24"/>
              </w:rPr>
              <w:t xml:space="preserve"> transition costs</w:t>
            </w:r>
            <w:r w:rsidR="00160090" w:rsidRPr="00432E20">
              <w:rPr>
                <w:rFonts w:ascii="Calibri" w:hAnsi="Calibri" w:cs="Arial"/>
                <w:sz w:val="24"/>
                <w:szCs w:val="24"/>
              </w:rPr>
              <w:t>.</w:t>
            </w:r>
            <w:r w:rsidR="002917FE" w:rsidRPr="00432E20">
              <w:rPr>
                <w:rFonts w:ascii="Calibri" w:hAnsi="Calibri" w:cs="Arial"/>
                <w:sz w:val="24"/>
                <w:szCs w:val="24"/>
              </w:rPr>
              <w:t xml:space="preserve">  Please represent these costs in a table, showing when these costs will be incurred, with each type of cost shown separately.  Please estimate (using information in Criteria C Section 3) the year in which the pool will break even (i.e. the benefits will exceed additional costs of pooling).</w:t>
            </w:r>
          </w:p>
          <w:p w:rsidR="00092E30" w:rsidRPr="004C181B" w:rsidRDefault="00092E30" w:rsidP="00092E30">
            <w:pPr>
              <w:spacing w:line="360" w:lineRule="auto"/>
              <w:ind w:left="1310"/>
              <w:rPr>
                <w:rFonts w:ascii="Calibri" w:hAnsi="Calibri" w:cs="Arial"/>
                <w:b/>
                <w:sz w:val="24"/>
                <w:szCs w:val="24"/>
              </w:rPr>
            </w:pPr>
          </w:p>
        </w:tc>
      </w:tr>
      <w:tr w:rsidR="00367349" w:rsidRPr="00432E20" w:rsidTr="00412637">
        <w:tc>
          <w:tcPr>
            <w:tcW w:w="9781" w:type="dxa"/>
            <w:gridSpan w:val="2"/>
          </w:tcPr>
          <w:p w:rsidR="00367349" w:rsidRPr="00432E20" w:rsidRDefault="00367349" w:rsidP="00092E30">
            <w:pPr>
              <w:pStyle w:val="ListParagraph"/>
              <w:numPr>
                <w:ilvl w:val="0"/>
                <w:numId w:val="19"/>
              </w:numPr>
              <w:spacing w:line="360" w:lineRule="auto"/>
              <w:ind w:left="1310" w:hanging="284"/>
              <w:rPr>
                <w:rFonts w:ascii="Calibri" w:hAnsi="Calibri" w:cs="Arial"/>
                <w:sz w:val="24"/>
                <w:szCs w:val="24"/>
              </w:rPr>
            </w:pPr>
            <w:r w:rsidRPr="00432E20">
              <w:rPr>
                <w:rFonts w:ascii="Calibri" w:hAnsi="Calibri" w:cs="Arial"/>
                <w:sz w:val="24"/>
                <w:szCs w:val="24"/>
              </w:rPr>
              <w:t>Please list below the assumptions made in estimating t</w:t>
            </w:r>
            <w:r w:rsidR="00960C39" w:rsidRPr="00432E20">
              <w:rPr>
                <w:rFonts w:ascii="Calibri" w:hAnsi="Calibri" w:cs="Arial"/>
                <w:sz w:val="24"/>
                <w:szCs w:val="24"/>
              </w:rPr>
              <w:t xml:space="preserve">he </w:t>
            </w:r>
            <w:r w:rsidR="00160090" w:rsidRPr="00432E20">
              <w:rPr>
                <w:rFonts w:ascii="Calibri" w:hAnsi="Calibri" w:cs="Arial"/>
                <w:sz w:val="24"/>
                <w:szCs w:val="24"/>
              </w:rPr>
              <w:t xml:space="preserve">implementation </w:t>
            </w:r>
            <w:r w:rsidR="00960C39" w:rsidRPr="00432E20">
              <w:rPr>
                <w:rFonts w:ascii="Calibri" w:hAnsi="Calibri" w:cs="Arial"/>
                <w:sz w:val="24"/>
                <w:szCs w:val="24"/>
              </w:rPr>
              <w:t>costs</w:t>
            </w:r>
            <w:r w:rsidRPr="00432E20">
              <w:rPr>
                <w:rFonts w:ascii="Calibri" w:hAnsi="Calibri" w:cs="Arial"/>
                <w:sz w:val="24"/>
                <w:szCs w:val="24"/>
              </w:rPr>
              <w:t xml:space="preserve"> stated above (for example </w:t>
            </w:r>
            <w:r w:rsidR="00960C39" w:rsidRPr="00432E20">
              <w:rPr>
                <w:rFonts w:ascii="Calibri" w:hAnsi="Calibri" w:cs="Arial"/>
                <w:sz w:val="24"/>
                <w:szCs w:val="24"/>
              </w:rPr>
              <w:t xml:space="preserve">if you have assumed a standard cost for each asset class please </w:t>
            </w:r>
            <w:r w:rsidRPr="00432E20">
              <w:rPr>
                <w:rFonts w:ascii="Calibri" w:hAnsi="Calibri" w:cs="Arial"/>
                <w:sz w:val="24"/>
                <w:szCs w:val="24"/>
              </w:rPr>
              <w:t>state the assumption and the rationale behind it)</w:t>
            </w:r>
            <w:r w:rsidR="00292B56" w:rsidRPr="00432E20">
              <w:rPr>
                <w:rFonts w:ascii="Calibri" w:hAnsi="Calibri" w:cs="Arial"/>
                <w:sz w:val="24"/>
                <w:szCs w:val="24"/>
              </w:rPr>
              <w:t>.</w:t>
            </w:r>
          </w:p>
        </w:tc>
      </w:tr>
      <w:tr w:rsidR="00367349" w:rsidRPr="00432E20" w:rsidTr="00412637">
        <w:tc>
          <w:tcPr>
            <w:tcW w:w="5954" w:type="dxa"/>
          </w:tcPr>
          <w:p w:rsidR="00367349" w:rsidRPr="00432E20" w:rsidRDefault="00367349" w:rsidP="00092E30">
            <w:pPr>
              <w:pStyle w:val="ListParagraph"/>
              <w:numPr>
                <w:ilvl w:val="0"/>
                <w:numId w:val="19"/>
              </w:numPr>
              <w:spacing w:line="360" w:lineRule="auto"/>
              <w:ind w:left="1310" w:hanging="284"/>
              <w:rPr>
                <w:rFonts w:ascii="Calibri" w:hAnsi="Calibri" w:cs="Arial"/>
                <w:sz w:val="24"/>
                <w:szCs w:val="24"/>
              </w:rPr>
            </w:pPr>
            <w:r w:rsidRPr="00432E20">
              <w:rPr>
                <w:rFonts w:ascii="Calibri" w:hAnsi="Calibri" w:cs="Arial"/>
                <w:sz w:val="24"/>
                <w:szCs w:val="24"/>
              </w:rPr>
              <w:t xml:space="preserve">Alternatively you may attach an ANNEX showing the assumptions and rationale made in estimating the </w:t>
            </w:r>
            <w:r w:rsidR="00160090" w:rsidRPr="00432E20">
              <w:rPr>
                <w:rFonts w:ascii="Calibri" w:hAnsi="Calibri" w:cs="Arial"/>
                <w:sz w:val="24"/>
                <w:szCs w:val="24"/>
              </w:rPr>
              <w:t xml:space="preserve">implementation </w:t>
            </w:r>
            <w:r w:rsidR="00960C39" w:rsidRPr="00432E20">
              <w:rPr>
                <w:rFonts w:ascii="Calibri" w:hAnsi="Calibri" w:cs="Arial"/>
                <w:sz w:val="24"/>
                <w:szCs w:val="24"/>
              </w:rPr>
              <w:t>costs</w:t>
            </w:r>
            <w:r w:rsidRPr="00432E20">
              <w:rPr>
                <w:rFonts w:ascii="Calibri" w:hAnsi="Calibri" w:cs="Arial"/>
                <w:sz w:val="24"/>
                <w:szCs w:val="24"/>
              </w:rPr>
              <w:t xml:space="preserve"> shown</w:t>
            </w:r>
            <w:r w:rsidR="00292B56" w:rsidRPr="00432E20">
              <w:rPr>
                <w:rFonts w:ascii="Calibri" w:hAnsi="Calibri" w:cs="Arial"/>
                <w:sz w:val="24"/>
                <w:szCs w:val="24"/>
              </w:rPr>
              <w:t>.</w:t>
            </w:r>
          </w:p>
        </w:tc>
        <w:tc>
          <w:tcPr>
            <w:tcW w:w="3827" w:type="dxa"/>
          </w:tcPr>
          <w:p w:rsidR="00367349" w:rsidRPr="00432E20" w:rsidRDefault="00367349" w:rsidP="00367349">
            <w:pPr>
              <w:spacing w:line="360" w:lineRule="auto"/>
              <w:rPr>
                <w:rFonts w:ascii="Calibri" w:hAnsi="Calibri" w:cs="Arial"/>
                <w:sz w:val="24"/>
                <w:szCs w:val="24"/>
              </w:rPr>
            </w:pPr>
            <w:r w:rsidRPr="00432E20">
              <w:rPr>
                <w:rFonts w:ascii="Calibri" w:hAnsi="Calibri" w:cs="Arial"/>
                <w:sz w:val="24"/>
                <w:szCs w:val="24"/>
              </w:rPr>
              <w:t>Attached as ANNEX number</w:t>
            </w:r>
          </w:p>
        </w:tc>
      </w:tr>
      <w:tr w:rsidR="00960C39" w:rsidRPr="00432E20" w:rsidTr="00412637">
        <w:tc>
          <w:tcPr>
            <w:tcW w:w="9781" w:type="dxa"/>
            <w:gridSpan w:val="2"/>
          </w:tcPr>
          <w:p w:rsidR="00960C39" w:rsidRDefault="00960C39" w:rsidP="00092E30">
            <w:pPr>
              <w:pStyle w:val="ListParagraph"/>
              <w:numPr>
                <w:ilvl w:val="0"/>
                <w:numId w:val="19"/>
              </w:numPr>
              <w:spacing w:line="360" w:lineRule="auto"/>
              <w:ind w:left="1310" w:hanging="284"/>
              <w:rPr>
                <w:rFonts w:ascii="Calibri" w:hAnsi="Calibri" w:cs="Arial"/>
                <w:sz w:val="24"/>
                <w:szCs w:val="24"/>
              </w:rPr>
            </w:pPr>
            <w:r w:rsidRPr="00432E20">
              <w:rPr>
                <w:rFonts w:ascii="Calibri" w:hAnsi="Calibri" w:cs="Arial"/>
                <w:sz w:val="24"/>
                <w:szCs w:val="24"/>
              </w:rPr>
              <w:t xml:space="preserve"> Please </w:t>
            </w:r>
            <w:r w:rsidR="00160090" w:rsidRPr="00432E20">
              <w:rPr>
                <w:rFonts w:ascii="Calibri" w:hAnsi="Calibri" w:cs="Arial"/>
                <w:sz w:val="24"/>
                <w:szCs w:val="24"/>
              </w:rPr>
              <w:t>explain how the implementation</w:t>
            </w:r>
            <w:r w:rsidRPr="00432E20">
              <w:rPr>
                <w:rFonts w:ascii="Calibri" w:hAnsi="Calibri" w:cs="Arial"/>
                <w:sz w:val="24"/>
                <w:szCs w:val="24"/>
              </w:rPr>
              <w:t xml:space="preserve"> costs will be met </w:t>
            </w:r>
            <w:r w:rsidR="002452B7" w:rsidRPr="00432E20">
              <w:rPr>
                <w:rFonts w:ascii="Calibri" w:hAnsi="Calibri" w:cs="Arial"/>
                <w:sz w:val="24"/>
                <w:szCs w:val="24"/>
              </w:rPr>
              <w:t>by</w:t>
            </w:r>
            <w:r w:rsidRPr="00432E20">
              <w:rPr>
                <w:rFonts w:ascii="Calibri" w:hAnsi="Calibri" w:cs="Arial"/>
                <w:sz w:val="24"/>
                <w:szCs w:val="24"/>
              </w:rPr>
              <w:t xml:space="preserve"> the participating </w:t>
            </w:r>
            <w:r w:rsidR="00BB0E3C" w:rsidRPr="00432E20">
              <w:rPr>
                <w:rFonts w:ascii="Calibri" w:hAnsi="Calibri" w:cs="Arial"/>
                <w:sz w:val="24"/>
                <w:szCs w:val="24"/>
              </w:rPr>
              <w:t>authorities</w:t>
            </w:r>
            <w:r w:rsidR="00292B56" w:rsidRPr="00432E20">
              <w:rPr>
                <w:rFonts w:ascii="Calibri" w:hAnsi="Calibri" w:cs="Arial"/>
                <w:sz w:val="24"/>
                <w:szCs w:val="24"/>
              </w:rPr>
              <w:t>.</w:t>
            </w:r>
          </w:p>
          <w:p w:rsidR="00DC4F81" w:rsidRPr="00DC4F81" w:rsidRDefault="009F15E9" w:rsidP="00621380">
            <w:pPr>
              <w:pStyle w:val="ListParagraph"/>
              <w:numPr>
                <w:ilvl w:val="0"/>
                <w:numId w:val="37"/>
              </w:numPr>
              <w:spacing w:line="360" w:lineRule="auto"/>
              <w:ind w:left="1310" w:hanging="284"/>
              <w:rPr>
                <w:rFonts w:ascii="Calibri" w:hAnsi="Calibri" w:cs="Arial"/>
                <w:color w:val="FF0000"/>
                <w:sz w:val="24"/>
                <w:szCs w:val="24"/>
              </w:rPr>
            </w:pPr>
            <w:r>
              <w:rPr>
                <w:rFonts w:ascii="Calibri" w:hAnsi="Calibri" w:cs="Arial"/>
                <w:color w:val="0070C0"/>
                <w:sz w:val="24"/>
                <w:szCs w:val="24"/>
              </w:rPr>
              <w:t>London Local Authorities</w:t>
            </w:r>
            <w:r w:rsidR="00DC4F81" w:rsidRPr="00621D0D">
              <w:rPr>
                <w:rFonts w:ascii="Calibri" w:hAnsi="Calibri" w:cs="Arial"/>
                <w:color w:val="0070C0"/>
                <w:sz w:val="24"/>
                <w:szCs w:val="24"/>
              </w:rPr>
              <w:t xml:space="preserve"> provided initial set up capital of £75k per participating authority to establish the London CIV </w:t>
            </w:r>
            <w:r w:rsidR="001F3FCF" w:rsidRPr="00621D0D">
              <w:rPr>
                <w:rFonts w:ascii="Calibri" w:hAnsi="Calibri" w:cs="Arial"/>
                <w:color w:val="0070C0"/>
                <w:sz w:val="24"/>
                <w:szCs w:val="24"/>
              </w:rPr>
              <w:t xml:space="preserve">and cover the initial implementation costs including </w:t>
            </w:r>
            <w:r w:rsidR="00621D0D" w:rsidRPr="00621D0D">
              <w:rPr>
                <w:rFonts w:ascii="Calibri" w:hAnsi="Calibri" w:cs="Arial"/>
                <w:color w:val="0070C0"/>
                <w:sz w:val="24"/>
                <w:szCs w:val="24"/>
              </w:rPr>
              <w:t xml:space="preserve">legal and </w:t>
            </w:r>
            <w:r w:rsidR="001F3FCF" w:rsidRPr="00621D0D">
              <w:rPr>
                <w:rFonts w:ascii="Calibri" w:hAnsi="Calibri" w:cs="Arial"/>
                <w:color w:val="0070C0"/>
                <w:sz w:val="24"/>
                <w:szCs w:val="24"/>
              </w:rPr>
              <w:t>advisers</w:t>
            </w:r>
            <w:r w:rsidR="00621D0D" w:rsidRPr="00621D0D">
              <w:rPr>
                <w:rFonts w:ascii="Calibri" w:hAnsi="Calibri" w:cs="Arial"/>
                <w:color w:val="0070C0"/>
                <w:sz w:val="24"/>
                <w:szCs w:val="24"/>
              </w:rPr>
              <w:t>’ costs</w:t>
            </w:r>
            <w:r w:rsidR="001F3FCF" w:rsidRPr="00621D0D">
              <w:rPr>
                <w:rFonts w:ascii="Calibri" w:hAnsi="Calibri" w:cs="Arial"/>
                <w:color w:val="0070C0"/>
                <w:sz w:val="24"/>
                <w:szCs w:val="24"/>
              </w:rPr>
              <w:t>.</w:t>
            </w:r>
          </w:p>
        </w:tc>
      </w:tr>
    </w:tbl>
    <w:p w:rsidR="00095E0E" w:rsidRPr="00432E20" w:rsidRDefault="00095E0E" w:rsidP="00095E0E">
      <w:pPr>
        <w:spacing w:after="0" w:line="360" w:lineRule="auto"/>
        <w:rPr>
          <w:rFonts w:ascii="Calibri" w:hAnsi="Calibri" w:cs="Arial"/>
          <w:sz w:val="24"/>
          <w:szCs w:val="24"/>
        </w:rPr>
      </w:pPr>
    </w:p>
    <w:tbl>
      <w:tblPr>
        <w:tblStyle w:val="TableGrid"/>
        <w:tblW w:w="0" w:type="auto"/>
        <w:tblInd w:w="-5" w:type="dxa"/>
        <w:tblLook w:val="04A0" w:firstRow="1" w:lastRow="0" w:firstColumn="1" w:lastColumn="0" w:noHBand="0" w:noVBand="1"/>
      </w:tblPr>
      <w:tblGrid>
        <w:gridCol w:w="9741"/>
      </w:tblGrid>
      <w:tr w:rsidR="002452B7" w:rsidRPr="00432E20" w:rsidTr="00412637">
        <w:tc>
          <w:tcPr>
            <w:tcW w:w="9741" w:type="dxa"/>
            <w:shd w:val="clear" w:color="auto" w:fill="000000" w:themeFill="text1"/>
          </w:tcPr>
          <w:p w:rsidR="002452B7" w:rsidRPr="00432E20" w:rsidRDefault="002452B7" w:rsidP="00092E30">
            <w:pPr>
              <w:pStyle w:val="ListParagraph"/>
              <w:numPr>
                <w:ilvl w:val="0"/>
                <w:numId w:val="22"/>
              </w:numPr>
              <w:spacing w:after="160" w:line="360" w:lineRule="auto"/>
              <w:rPr>
                <w:rFonts w:ascii="Calibri" w:hAnsi="Calibri" w:cs="Arial"/>
                <w:b/>
                <w:color w:val="FFFFFF" w:themeColor="background1"/>
                <w:sz w:val="24"/>
                <w:szCs w:val="24"/>
              </w:rPr>
            </w:pPr>
            <w:r w:rsidRPr="00432E20">
              <w:rPr>
                <w:rFonts w:ascii="Calibri" w:hAnsi="Calibri" w:cs="Arial"/>
                <w:b/>
                <w:sz w:val="24"/>
                <w:szCs w:val="24"/>
              </w:rPr>
              <w:t>A proposal for reporting transparently against</w:t>
            </w:r>
            <w:r w:rsidR="000E3766" w:rsidRPr="00432E20">
              <w:rPr>
                <w:rFonts w:ascii="Calibri" w:hAnsi="Calibri" w:cs="Arial"/>
                <w:b/>
                <w:sz w:val="24"/>
                <w:szCs w:val="24"/>
              </w:rPr>
              <w:t xml:space="preserve"> </w:t>
            </w:r>
            <w:r w:rsidRPr="00432E20">
              <w:rPr>
                <w:rFonts w:ascii="Calibri" w:hAnsi="Calibri" w:cs="Arial"/>
                <w:b/>
                <w:sz w:val="24"/>
                <w:szCs w:val="24"/>
              </w:rPr>
              <w:t>forecast transition costs and savings</w:t>
            </w:r>
            <w:r w:rsidR="00D76C32" w:rsidRPr="00432E20">
              <w:rPr>
                <w:rFonts w:ascii="Calibri" w:hAnsi="Calibri" w:cs="Arial"/>
                <w:b/>
                <w:sz w:val="24"/>
                <w:szCs w:val="24"/>
              </w:rPr>
              <w:t>,</w:t>
            </w:r>
            <w:r w:rsidRPr="00432E20">
              <w:rPr>
                <w:rFonts w:ascii="Calibri" w:hAnsi="Calibri" w:cs="Arial"/>
                <w:b/>
                <w:sz w:val="24"/>
                <w:szCs w:val="24"/>
              </w:rPr>
              <w:t xml:space="preserve"> as well as </w:t>
            </w:r>
            <w:r w:rsidR="00D76C32" w:rsidRPr="00432E20">
              <w:rPr>
                <w:rFonts w:ascii="Calibri" w:hAnsi="Calibri" w:cs="Arial"/>
                <w:b/>
                <w:sz w:val="24"/>
                <w:szCs w:val="24"/>
              </w:rPr>
              <w:t xml:space="preserve">for reporting </w:t>
            </w:r>
            <w:r w:rsidRPr="00432E20">
              <w:rPr>
                <w:rFonts w:ascii="Calibri" w:hAnsi="Calibri" w:cs="Arial"/>
                <w:b/>
                <w:sz w:val="24"/>
                <w:szCs w:val="24"/>
              </w:rPr>
              <w:t>fees and net performance</w:t>
            </w:r>
            <w:r w:rsidR="00D76C32" w:rsidRPr="00432E20">
              <w:rPr>
                <w:rFonts w:ascii="Calibri" w:hAnsi="Calibri" w:cs="Arial"/>
                <w:b/>
                <w:sz w:val="24"/>
                <w:szCs w:val="24"/>
              </w:rPr>
              <w:t>.</w:t>
            </w:r>
          </w:p>
        </w:tc>
      </w:tr>
      <w:tr w:rsidR="000E3766" w:rsidRPr="00432E20" w:rsidTr="00412637">
        <w:tc>
          <w:tcPr>
            <w:tcW w:w="9741" w:type="dxa"/>
          </w:tcPr>
          <w:p w:rsidR="000E3766" w:rsidRDefault="000E3766" w:rsidP="00092E30">
            <w:pPr>
              <w:pStyle w:val="ListParagraph"/>
              <w:numPr>
                <w:ilvl w:val="0"/>
                <w:numId w:val="27"/>
              </w:numPr>
              <w:spacing w:line="360" w:lineRule="auto"/>
              <w:rPr>
                <w:rFonts w:ascii="Calibri" w:hAnsi="Calibri" w:cs="Arial"/>
                <w:sz w:val="24"/>
                <w:szCs w:val="24"/>
              </w:rPr>
            </w:pPr>
            <w:r w:rsidRPr="00432E20">
              <w:rPr>
                <w:rFonts w:ascii="Calibri" w:hAnsi="Calibri" w:cs="Arial"/>
                <w:sz w:val="24"/>
                <w:szCs w:val="24"/>
              </w:rPr>
              <w:t>Please explain the format and forum in which the pool and participating authorities will transparently report actual implementation (including transition) costs compared to the forecasts above.</w:t>
            </w:r>
          </w:p>
          <w:p w:rsidR="00DC4F81" w:rsidRPr="00DC4F81" w:rsidRDefault="00DC4F81" w:rsidP="00DC4F81">
            <w:pPr>
              <w:pStyle w:val="ListParagraph"/>
              <w:numPr>
                <w:ilvl w:val="0"/>
                <w:numId w:val="37"/>
              </w:numPr>
              <w:spacing w:line="360" w:lineRule="auto"/>
              <w:ind w:left="1310"/>
              <w:rPr>
                <w:rFonts w:ascii="Calibri" w:hAnsi="Calibri" w:cs="Arial"/>
                <w:color w:val="0070C0"/>
                <w:sz w:val="24"/>
                <w:szCs w:val="24"/>
              </w:rPr>
            </w:pPr>
            <w:r w:rsidRPr="00DC4F81">
              <w:rPr>
                <w:rFonts w:ascii="Calibri" w:hAnsi="Calibri" w:cs="Arial"/>
                <w:color w:val="0070C0"/>
                <w:sz w:val="24"/>
                <w:szCs w:val="24"/>
              </w:rPr>
              <w:t>As assets are transferred either in-specie or in cash into a sub-fund, individual authorities will be provided with the costs of transition.</w:t>
            </w:r>
          </w:p>
          <w:p w:rsidR="00DC4F81" w:rsidRPr="00DC4F81" w:rsidRDefault="00DC4F81" w:rsidP="00621380">
            <w:pPr>
              <w:pStyle w:val="ListParagraph"/>
              <w:numPr>
                <w:ilvl w:val="0"/>
                <w:numId w:val="37"/>
              </w:numPr>
              <w:spacing w:line="360" w:lineRule="auto"/>
              <w:ind w:left="1310"/>
              <w:rPr>
                <w:rFonts w:ascii="Calibri" w:hAnsi="Calibri" w:cs="Arial"/>
                <w:color w:val="FF0000"/>
                <w:sz w:val="24"/>
                <w:szCs w:val="24"/>
              </w:rPr>
            </w:pPr>
            <w:r w:rsidRPr="00DC4F81">
              <w:rPr>
                <w:rFonts w:ascii="Calibri" w:hAnsi="Calibri" w:cs="Arial"/>
                <w:color w:val="0070C0"/>
                <w:sz w:val="24"/>
                <w:szCs w:val="24"/>
              </w:rPr>
              <w:t xml:space="preserve">The CIV will look to disclose at </w:t>
            </w:r>
            <w:r>
              <w:rPr>
                <w:rFonts w:ascii="Calibri" w:hAnsi="Calibri" w:cs="Arial"/>
                <w:color w:val="0070C0"/>
                <w:sz w:val="24"/>
                <w:szCs w:val="24"/>
              </w:rPr>
              <w:t xml:space="preserve">a pool level the costs of transition and savings to its </w:t>
            </w:r>
            <w:r w:rsidR="00D0075F">
              <w:rPr>
                <w:rFonts w:ascii="Calibri" w:hAnsi="Calibri" w:cs="Arial"/>
                <w:color w:val="0070C0"/>
                <w:sz w:val="24"/>
                <w:szCs w:val="24"/>
              </w:rPr>
              <w:t xml:space="preserve">investors </w:t>
            </w:r>
            <w:r>
              <w:rPr>
                <w:rFonts w:ascii="Calibri" w:hAnsi="Calibri" w:cs="Arial"/>
                <w:color w:val="0070C0"/>
                <w:sz w:val="24"/>
                <w:szCs w:val="24"/>
              </w:rPr>
              <w:t>on an annual basis –</w:t>
            </w:r>
          </w:p>
        </w:tc>
      </w:tr>
      <w:tr w:rsidR="00D76C32" w:rsidRPr="00432E20" w:rsidTr="00394270">
        <w:tc>
          <w:tcPr>
            <w:tcW w:w="9741" w:type="dxa"/>
          </w:tcPr>
          <w:p w:rsidR="00D76C32" w:rsidRDefault="00D76C32" w:rsidP="00092E30">
            <w:pPr>
              <w:pStyle w:val="ListParagraph"/>
              <w:numPr>
                <w:ilvl w:val="0"/>
                <w:numId w:val="27"/>
              </w:numPr>
              <w:spacing w:line="360" w:lineRule="auto"/>
              <w:rPr>
                <w:rFonts w:ascii="Calibri" w:hAnsi="Calibri" w:cs="Arial"/>
                <w:sz w:val="24"/>
                <w:szCs w:val="24"/>
              </w:rPr>
            </w:pPr>
            <w:r w:rsidRPr="00432E20">
              <w:rPr>
                <w:rFonts w:ascii="Calibri" w:hAnsi="Calibri" w:cs="Arial"/>
                <w:sz w:val="24"/>
                <w:szCs w:val="24"/>
              </w:rPr>
              <w:t xml:space="preserve">Please explain the format and forum in which the pool and participating authorities </w:t>
            </w:r>
            <w:r w:rsidRPr="00432E20">
              <w:rPr>
                <w:rFonts w:ascii="Calibri" w:hAnsi="Calibri" w:cs="Arial"/>
                <w:sz w:val="24"/>
                <w:szCs w:val="24"/>
              </w:rPr>
              <w:lastRenderedPageBreak/>
              <w:t>will transparently report actual investment costs and fees as well as net performance.</w:t>
            </w:r>
          </w:p>
          <w:p w:rsidR="00621D0D" w:rsidRPr="00621D0D" w:rsidRDefault="009F15E9" w:rsidP="00621D0D">
            <w:pPr>
              <w:pStyle w:val="ListParagraph"/>
              <w:numPr>
                <w:ilvl w:val="0"/>
                <w:numId w:val="41"/>
              </w:numPr>
              <w:spacing w:line="360" w:lineRule="auto"/>
              <w:rPr>
                <w:rFonts w:ascii="Calibri" w:hAnsi="Calibri" w:cs="Arial"/>
                <w:sz w:val="24"/>
                <w:szCs w:val="24"/>
              </w:rPr>
            </w:pPr>
            <w:r>
              <w:rPr>
                <w:rFonts w:ascii="Calibri" w:hAnsi="Calibri" w:cs="Arial"/>
                <w:color w:val="0070C0"/>
                <w:sz w:val="24"/>
                <w:szCs w:val="24"/>
              </w:rPr>
              <w:t>Authorities</w:t>
            </w:r>
            <w:r w:rsidR="00621D0D" w:rsidRPr="00621D0D">
              <w:rPr>
                <w:rFonts w:ascii="Calibri" w:hAnsi="Calibri" w:cs="Arial"/>
                <w:color w:val="0070C0"/>
                <w:sz w:val="24"/>
                <w:szCs w:val="24"/>
              </w:rPr>
              <w:t xml:space="preserve"> will be provided with quarterly reporting from the London CIV which will encompass both their investment performance and the fees paid by them, including any fund charges </w:t>
            </w:r>
          </w:p>
          <w:p w:rsidR="00621D0D" w:rsidRPr="00621D0D" w:rsidRDefault="00621D0D" w:rsidP="00621D0D">
            <w:pPr>
              <w:pStyle w:val="ListParagraph"/>
              <w:numPr>
                <w:ilvl w:val="0"/>
                <w:numId w:val="41"/>
              </w:numPr>
              <w:spacing w:line="360" w:lineRule="auto"/>
              <w:rPr>
                <w:rFonts w:ascii="Calibri" w:hAnsi="Calibri" w:cs="Arial"/>
                <w:sz w:val="24"/>
                <w:szCs w:val="24"/>
              </w:rPr>
            </w:pPr>
            <w:r>
              <w:rPr>
                <w:rFonts w:ascii="Calibri" w:hAnsi="Calibri" w:cs="Arial"/>
                <w:color w:val="0070C0"/>
                <w:sz w:val="24"/>
                <w:szCs w:val="24"/>
              </w:rPr>
              <w:t xml:space="preserve">At a pool level, shareholders will be provided with an annual report setting out performance and costs for each individual </w:t>
            </w:r>
            <w:r w:rsidRPr="00621D0D">
              <w:rPr>
                <w:rFonts w:ascii="Calibri" w:hAnsi="Calibri" w:cs="Arial"/>
                <w:color w:val="0070C0"/>
                <w:sz w:val="24"/>
                <w:szCs w:val="24"/>
              </w:rPr>
              <w:t>sub-fund</w:t>
            </w:r>
            <w:r>
              <w:rPr>
                <w:rFonts w:ascii="Calibri" w:hAnsi="Calibri" w:cs="Arial"/>
                <w:color w:val="0070C0"/>
                <w:sz w:val="24"/>
                <w:szCs w:val="24"/>
              </w:rPr>
              <w:t xml:space="preserve"> including net performance as well as at a pool level </w:t>
            </w:r>
          </w:p>
          <w:p w:rsidR="00621D0D" w:rsidRPr="00621D0D" w:rsidRDefault="00621D0D" w:rsidP="00621D0D">
            <w:pPr>
              <w:pStyle w:val="ListParagraph"/>
              <w:numPr>
                <w:ilvl w:val="0"/>
                <w:numId w:val="41"/>
              </w:numPr>
              <w:spacing w:line="360" w:lineRule="auto"/>
              <w:rPr>
                <w:rFonts w:ascii="Calibri" w:hAnsi="Calibri" w:cs="Arial"/>
                <w:sz w:val="24"/>
                <w:szCs w:val="24"/>
              </w:rPr>
            </w:pPr>
            <w:r>
              <w:rPr>
                <w:rFonts w:ascii="Calibri" w:hAnsi="Calibri" w:cs="Arial"/>
                <w:color w:val="0070C0"/>
                <w:sz w:val="24"/>
                <w:szCs w:val="24"/>
              </w:rPr>
              <w:t xml:space="preserve">Quarterly reporting and annual reporting will be provided to individual </w:t>
            </w:r>
            <w:r w:rsidR="009F15E9">
              <w:rPr>
                <w:rFonts w:ascii="Calibri" w:hAnsi="Calibri" w:cs="Arial"/>
                <w:color w:val="0070C0"/>
                <w:sz w:val="24"/>
                <w:szCs w:val="24"/>
              </w:rPr>
              <w:t>Authorities</w:t>
            </w:r>
            <w:r>
              <w:rPr>
                <w:rFonts w:ascii="Calibri" w:hAnsi="Calibri" w:cs="Arial"/>
                <w:color w:val="0070C0"/>
                <w:sz w:val="24"/>
                <w:szCs w:val="24"/>
              </w:rPr>
              <w:t xml:space="preserve"> in a written report</w:t>
            </w:r>
          </w:p>
          <w:p w:rsidR="00621D0D" w:rsidRPr="00621D0D" w:rsidRDefault="00621D0D" w:rsidP="00621D0D">
            <w:pPr>
              <w:pStyle w:val="ListParagraph"/>
              <w:numPr>
                <w:ilvl w:val="0"/>
                <w:numId w:val="41"/>
              </w:numPr>
              <w:spacing w:line="360" w:lineRule="auto"/>
              <w:rPr>
                <w:rFonts w:ascii="Calibri" w:hAnsi="Calibri" w:cs="Arial"/>
                <w:sz w:val="24"/>
                <w:szCs w:val="24"/>
              </w:rPr>
            </w:pPr>
            <w:r>
              <w:rPr>
                <w:rFonts w:ascii="Calibri" w:hAnsi="Calibri" w:cs="Arial"/>
                <w:color w:val="0070C0"/>
                <w:sz w:val="24"/>
                <w:szCs w:val="24"/>
              </w:rPr>
              <w:t>In addition performance of sub-funds will be covered on the CIV website.</w:t>
            </w:r>
          </w:p>
          <w:p w:rsidR="00621D0D" w:rsidRPr="00432E20" w:rsidRDefault="00621D0D" w:rsidP="00621D0D">
            <w:pPr>
              <w:pStyle w:val="ListParagraph"/>
              <w:numPr>
                <w:ilvl w:val="0"/>
                <w:numId w:val="41"/>
              </w:numPr>
              <w:spacing w:line="360" w:lineRule="auto"/>
              <w:rPr>
                <w:rFonts w:ascii="Calibri" w:hAnsi="Calibri" w:cs="Arial"/>
                <w:sz w:val="24"/>
                <w:szCs w:val="24"/>
              </w:rPr>
            </w:pPr>
            <w:r>
              <w:rPr>
                <w:rFonts w:ascii="Calibri" w:hAnsi="Calibri" w:cs="Arial"/>
                <w:color w:val="0070C0"/>
                <w:sz w:val="24"/>
                <w:szCs w:val="24"/>
              </w:rPr>
              <w:t>Quarterly and Annual reporting will also be reviewed at the IAC and PSJC meetings as well as at the Company Board meeting</w:t>
            </w:r>
            <w:r w:rsidR="008D6B80">
              <w:rPr>
                <w:rFonts w:ascii="Calibri" w:hAnsi="Calibri" w:cs="Arial"/>
                <w:color w:val="0070C0"/>
                <w:sz w:val="24"/>
                <w:szCs w:val="24"/>
              </w:rPr>
              <w:t>s and the Company Investment Oversight Committee.</w:t>
            </w:r>
            <w:r>
              <w:rPr>
                <w:rFonts w:ascii="Calibri" w:hAnsi="Calibri" w:cs="Arial"/>
                <w:color w:val="0070C0"/>
                <w:sz w:val="24"/>
                <w:szCs w:val="24"/>
              </w:rPr>
              <w:t xml:space="preserve"> </w:t>
            </w:r>
          </w:p>
        </w:tc>
      </w:tr>
      <w:tr w:rsidR="000E3766" w:rsidRPr="00432E20" w:rsidTr="00412637">
        <w:tc>
          <w:tcPr>
            <w:tcW w:w="9741" w:type="dxa"/>
          </w:tcPr>
          <w:p w:rsidR="000E3766" w:rsidRDefault="000E3766" w:rsidP="00092E30">
            <w:pPr>
              <w:pStyle w:val="ListParagraph"/>
              <w:numPr>
                <w:ilvl w:val="0"/>
                <w:numId w:val="27"/>
              </w:numPr>
              <w:spacing w:line="360" w:lineRule="auto"/>
              <w:rPr>
                <w:rFonts w:ascii="Calibri" w:hAnsi="Calibri" w:cs="Arial"/>
                <w:sz w:val="24"/>
                <w:szCs w:val="24"/>
              </w:rPr>
            </w:pPr>
            <w:r w:rsidRPr="00432E20">
              <w:rPr>
                <w:rFonts w:ascii="Calibri" w:hAnsi="Calibri" w:cs="Arial"/>
                <w:sz w:val="24"/>
                <w:szCs w:val="24"/>
              </w:rPr>
              <w:lastRenderedPageBreak/>
              <w:t>Please explain the format and forum in which the pool and participating authorities will transparently report actual savings compared to the forecasts above.</w:t>
            </w:r>
          </w:p>
          <w:p w:rsidR="008D6B80" w:rsidRPr="008D6B80" w:rsidRDefault="008D6B80" w:rsidP="008D6B80">
            <w:pPr>
              <w:pStyle w:val="ListParagraph"/>
              <w:numPr>
                <w:ilvl w:val="0"/>
                <w:numId w:val="42"/>
              </w:numPr>
              <w:spacing w:line="360" w:lineRule="auto"/>
              <w:rPr>
                <w:rFonts w:ascii="Calibri" w:hAnsi="Calibri" w:cs="Arial"/>
                <w:color w:val="0070C0"/>
                <w:sz w:val="24"/>
                <w:szCs w:val="24"/>
              </w:rPr>
            </w:pPr>
            <w:r>
              <w:rPr>
                <w:rFonts w:ascii="Calibri" w:hAnsi="Calibri" w:cs="Arial"/>
                <w:color w:val="0070C0"/>
                <w:sz w:val="24"/>
                <w:szCs w:val="24"/>
              </w:rPr>
              <w:t>As above</w:t>
            </w:r>
          </w:p>
          <w:p w:rsidR="00621D0D" w:rsidRPr="00432E20" w:rsidRDefault="00621D0D" w:rsidP="00621D0D">
            <w:pPr>
              <w:pStyle w:val="ListParagraph"/>
              <w:spacing w:line="360" w:lineRule="auto"/>
              <w:ind w:left="1080"/>
              <w:rPr>
                <w:rFonts w:ascii="Calibri" w:hAnsi="Calibri" w:cs="Arial"/>
                <w:sz w:val="24"/>
                <w:szCs w:val="24"/>
              </w:rPr>
            </w:pPr>
          </w:p>
        </w:tc>
      </w:tr>
    </w:tbl>
    <w:p w:rsidR="00412637" w:rsidRPr="00432E20" w:rsidRDefault="00412637">
      <w:pPr>
        <w:rPr>
          <w:rFonts w:ascii="Calibri" w:hAnsi="Calibri" w:cs="Arial"/>
          <w:b/>
          <w:sz w:val="24"/>
          <w:szCs w:val="24"/>
        </w:rPr>
      </w:pPr>
      <w:r w:rsidRPr="00432E20">
        <w:rPr>
          <w:rFonts w:ascii="Calibri" w:hAnsi="Calibri" w:cs="Arial"/>
          <w:b/>
          <w:sz w:val="24"/>
          <w:szCs w:val="24"/>
        </w:rPr>
        <w:br w:type="page"/>
      </w:r>
    </w:p>
    <w:p w:rsidR="00095E0E" w:rsidRPr="00432E20" w:rsidRDefault="00095E0E" w:rsidP="00412637">
      <w:pPr>
        <w:rPr>
          <w:rFonts w:ascii="Calibri" w:hAnsi="Calibri" w:cs="Arial"/>
          <w:b/>
          <w:sz w:val="24"/>
          <w:szCs w:val="24"/>
        </w:rPr>
      </w:pPr>
      <w:r w:rsidRPr="00432E20">
        <w:rPr>
          <w:rFonts w:ascii="Calibri" w:hAnsi="Calibri" w:cs="Arial"/>
          <w:b/>
          <w:sz w:val="24"/>
          <w:szCs w:val="24"/>
        </w:rPr>
        <w:lastRenderedPageBreak/>
        <w:t>Criteri</w:t>
      </w:r>
      <w:r w:rsidR="000A2E78" w:rsidRPr="00432E20">
        <w:rPr>
          <w:rFonts w:ascii="Calibri" w:hAnsi="Calibri" w:cs="Arial"/>
          <w:b/>
          <w:sz w:val="24"/>
          <w:szCs w:val="24"/>
        </w:rPr>
        <w:t>on</w:t>
      </w:r>
      <w:r w:rsidRPr="00432E20">
        <w:rPr>
          <w:rFonts w:ascii="Calibri" w:hAnsi="Calibri" w:cs="Arial"/>
          <w:b/>
          <w:sz w:val="24"/>
          <w:szCs w:val="24"/>
        </w:rPr>
        <w:t xml:space="preserve"> D: An improved capacity to invest in infrastructure</w:t>
      </w:r>
    </w:p>
    <w:tbl>
      <w:tblPr>
        <w:tblStyle w:val="TableGrid"/>
        <w:tblW w:w="0" w:type="auto"/>
        <w:tblInd w:w="-5" w:type="dxa"/>
        <w:tblLook w:val="04A0" w:firstRow="1" w:lastRow="0" w:firstColumn="1" w:lastColumn="0" w:noHBand="0" w:noVBand="1"/>
      </w:tblPr>
      <w:tblGrid>
        <w:gridCol w:w="5954"/>
        <w:gridCol w:w="3787"/>
      </w:tblGrid>
      <w:tr w:rsidR="00607D83" w:rsidRPr="00432E20" w:rsidTr="00412637">
        <w:tc>
          <w:tcPr>
            <w:tcW w:w="9741" w:type="dxa"/>
            <w:gridSpan w:val="2"/>
            <w:shd w:val="clear" w:color="auto" w:fill="000000" w:themeFill="text1"/>
          </w:tcPr>
          <w:p w:rsidR="00607D83" w:rsidRPr="00432E20" w:rsidRDefault="00607D83" w:rsidP="00092E30">
            <w:pPr>
              <w:pStyle w:val="ListParagraph"/>
              <w:numPr>
                <w:ilvl w:val="0"/>
                <w:numId w:val="23"/>
              </w:numPr>
              <w:spacing w:line="360" w:lineRule="auto"/>
              <w:rPr>
                <w:rFonts w:ascii="Calibri" w:hAnsi="Calibri" w:cs="Arial"/>
                <w:b/>
                <w:color w:val="FFFFFF" w:themeColor="background1"/>
                <w:sz w:val="24"/>
                <w:szCs w:val="24"/>
              </w:rPr>
            </w:pPr>
            <w:r w:rsidRPr="00432E20">
              <w:rPr>
                <w:rFonts w:ascii="Calibri" w:hAnsi="Calibri" w:cs="Arial"/>
                <w:b/>
                <w:sz w:val="24"/>
                <w:szCs w:val="24"/>
              </w:rPr>
              <w:t xml:space="preserve">The proportion of </w:t>
            </w:r>
            <w:r w:rsidR="00481C44" w:rsidRPr="00432E20">
              <w:rPr>
                <w:rFonts w:ascii="Calibri" w:hAnsi="Calibri" w:cs="Arial"/>
                <w:b/>
                <w:sz w:val="24"/>
                <w:szCs w:val="24"/>
              </w:rPr>
              <w:t xml:space="preserve">the total pool asset </w:t>
            </w:r>
            <w:r w:rsidRPr="00432E20">
              <w:rPr>
                <w:rFonts w:ascii="Calibri" w:hAnsi="Calibri" w:cs="Arial"/>
                <w:b/>
                <w:sz w:val="24"/>
                <w:szCs w:val="24"/>
              </w:rPr>
              <w:t>allocat</w:t>
            </w:r>
            <w:r w:rsidR="00481C44" w:rsidRPr="00432E20">
              <w:rPr>
                <w:rFonts w:ascii="Calibri" w:hAnsi="Calibri" w:cs="Arial"/>
                <w:b/>
                <w:sz w:val="24"/>
                <w:szCs w:val="24"/>
              </w:rPr>
              <w:t>ion</w:t>
            </w:r>
            <w:r w:rsidR="00BB0E3C" w:rsidRPr="00432E20">
              <w:rPr>
                <w:rFonts w:ascii="Calibri" w:hAnsi="Calibri" w:cs="Arial"/>
                <w:b/>
                <w:sz w:val="24"/>
                <w:szCs w:val="24"/>
              </w:rPr>
              <w:t xml:space="preserve"> </w:t>
            </w:r>
            <w:r w:rsidRPr="00432E20">
              <w:rPr>
                <w:rFonts w:ascii="Calibri" w:hAnsi="Calibri" w:cs="Arial"/>
                <w:b/>
                <w:sz w:val="24"/>
                <w:szCs w:val="24"/>
              </w:rPr>
              <w:t xml:space="preserve">currently allocated to </w:t>
            </w:r>
            <w:r w:rsidR="00481C44" w:rsidRPr="00432E20">
              <w:rPr>
                <w:rFonts w:ascii="Calibri" w:hAnsi="Calibri" w:cs="Arial"/>
                <w:b/>
                <w:sz w:val="24"/>
                <w:szCs w:val="24"/>
              </w:rPr>
              <w:t xml:space="preserve">/ committed </w:t>
            </w:r>
            <w:r w:rsidRPr="00432E20">
              <w:rPr>
                <w:rFonts w:ascii="Calibri" w:hAnsi="Calibri" w:cs="Arial"/>
                <w:b/>
                <w:sz w:val="24"/>
                <w:szCs w:val="24"/>
              </w:rPr>
              <w:t>to infrastructure</w:t>
            </w:r>
            <w:r w:rsidR="00126615" w:rsidRPr="00432E20">
              <w:rPr>
                <w:rFonts w:ascii="Calibri" w:hAnsi="Calibri" w:cs="Arial"/>
                <w:b/>
                <w:sz w:val="24"/>
                <w:szCs w:val="24"/>
              </w:rPr>
              <w:t>, both directly and through funds, or “funds of funds”</w:t>
            </w:r>
          </w:p>
        </w:tc>
      </w:tr>
      <w:tr w:rsidR="00607D83" w:rsidRPr="00432E20" w:rsidTr="00412637">
        <w:tc>
          <w:tcPr>
            <w:tcW w:w="5954" w:type="dxa"/>
          </w:tcPr>
          <w:p w:rsidR="00607D83" w:rsidRPr="00432E20" w:rsidRDefault="00126615" w:rsidP="00092E30">
            <w:pPr>
              <w:pStyle w:val="ListParagraph"/>
              <w:numPr>
                <w:ilvl w:val="0"/>
                <w:numId w:val="29"/>
              </w:numPr>
              <w:rPr>
                <w:rFonts w:ascii="Calibri" w:hAnsi="Calibri" w:cs="Arial"/>
                <w:sz w:val="24"/>
                <w:szCs w:val="24"/>
              </w:rPr>
            </w:pPr>
            <w:r w:rsidRPr="00432E20">
              <w:rPr>
                <w:rFonts w:ascii="Calibri" w:hAnsi="Calibri" w:cs="Arial"/>
                <w:sz w:val="24"/>
                <w:szCs w:val="24"/>
              </w:rPr>
              <w:t>Please state the pool</w:t>
            </w:r>
            <w:r w:rsidR="000A2E78" w:rsidRPr="00432E20">
              <w:rPr>
                <w:rFonts w:ascii="Calibri" w:hAnsi="Calibri" w:cs="Arial"/>
                <w:sz w:val="24"/>
                <w:szCs w:val="24"/>
              </w:rPr>
              <w:t>’</w:t>
            </w:r>
            <w:r w:rsidRPr="00432E20">
              <w:rPr>
                <w:rFonts w:ascii="Calibri" w:hAnsi="Calibri" w:cs="Arial"/>
                <w:sz w:val="24"/>
                <w:szCs w:val="24"/>
              </w:rPr>
              <w:t>s committed allocation to infrastructure, both directly and indirectly, as at 31.3.2015.</w:t>
            </w:r>
            <w:r w:rsidR="00904E3F" w:rsidRPr="00432E20">
              <w:rPr>
                <w:rFonts w:ascii="Calibri" w:hAnsi="Calibri" w:cs="Arial"/>
                <w:sz w:val="24"/>
                <w:szCs w:val="24"/>
              </w:rPr>
              <w:t xml:space="preserve"> </w:t>
            </w:r>
          </w:p>
        </w:tc>
        <w:tc>
          <w:tcPr>
            <w:tcW w:w="3787" w:type="dxa"/>
          </w:tcPr>
          <w:p w:rsidR="00607D83" w:rsidRDefault="00607D83" w:rsidP="00126615">
            <w:pPr>
              <w:spacing w:line="360" w:lineRule="auto"/>
              <w:ind w:left="337"/>
              <w:jc w:val="center"/>
              <w:rPr>
                <w:rFonts w:ascii="Calibri" w:hAnsi="Calibri" w:cs="Arial"/>
                <w:sz w:val="24"/>
                <w:szCs w:val="24"/>
              </w:rPr>
            </w:pPr>
          </w:p>
          <w:p w:rsidR="00092E30" w:rsidRPr="00432E20" w:rsidRDefault="00092E30" w:rsidP="00126615">
            <w:pPr>
              <w:spacing w:line="360" w:lineRule="auto"/>
              <w:ind w:left="337"/>
              <w:jc w:val="center"/>
              <w:rPr>
                <w:rFonts w:ascii="Calibri" w:hAnsi="Calibri" w:cs="Arial"/>
                <w:sz w:val="24"/>
                <w:szCs w:val="24"/>
              </w:rPr>
            </w:pPr>
            <w:r w:rsidRPr="007A053C">
              <w:rPr>
                <w:rFonts w:ascii="Calibri" w:hAnsi="Calibri" w:cs="Arial"/>
                <w:color w:val="2F5496" w:themeColor="accent5" w:themeShade="BF"/>
                <w:sz w:val="24"/>
                <w:szCs w:val="24"/>
              </w:rPr>
              <w:t>0.7%</w:t>
            </w:r>
          </w:p>
        </w:tc>
      </w:tr>
      <w:tr w:rsidR="00607D83" w:rsidRPr="00432E20" w:rsidTr="00412637">
        <w:tc>
          <w:tcPr>
            <w:tcW w:w="5954" w:type="dxa"/>
          </w:tcPr>
          <w:p w:rsidR="00607D83" w:rsidRPr="00432E20" w:rsidRDefault="00126615" w:rsidP="00092E30">
            <w:pPr>
              <w:pStyle w:val="ListParagraph"/>
              <w:numPr>
                <w:ilvl w:val="0"/>
                <w:numId w:val="29"/>
              </w:numPr>
              <w:rPr>
                <w:rFonts w:ascii="Calibri" w:hAnsi="Calibri" w:cs="Arial"/>
                <w:sz w:val="24"/>
                <w:szCs w:val="24"/>
              </w:rPr>
            </w:pPr>
            <w:r w:rsidRPr="00432E20">
              <w:rPr>
                <w:rFonts w:ascii="Calibri" w:hAnsi="Calibri" w:cs="Arial"/>
                <w:sz w:val="24"/>
                <w:szCs w:val="24"/>
              </w:rPr>
              <w:t xml:space="preserve">Please state the </w:t>
            </w:r>
            <w:r w:rsidR="000A2E78" w:rsidRPr="00432E20">
              <w:rPr>
                <w:rFonts w:ascii="Calibri" w:hAnsi="Calibri" w:cs="Arial"/>
                <w:sz w:val="24"/>
                <w:szCs w:val="24"/>
              </w:rPr>
              <w:t>p</w:t>
            </w:r>
            <w:r w:rsidRPr="00432E20">
              <w:rPr>
                <w:rFonts w:ascii="Calibri" w:hAnsi="Calibri" w:cs="Arial"/>
                <w:sz w:val="24"/>
                <w:szCs w:val="24"/>
              </w:rPr>
              <w:t>ool</w:t>
            </w:r>
            <w:r w:rsidR="000A2E78" w:rsidRPr="00432E20">
              <w:rPr>
                <w:rFonts w:ascii="Calibri" w:hAnsi="Calibri" w:cs="Arial"/>
                <w:sz w:val="24"/>
                <w:szCs w:val="24"/>
              </w:rPr>
              <w:t>’</w:t>
            </w:r>
            <w:r w:rsidRPr="00432E20">
              <w:rPr>
                <w:rFonts w:ascii="Calibri" w:hAnsi="Calibri" w:cs="Arial"/>
                <w:sz w:val="24"/>
                <w:szCs w:val="24"/>
              </w:rPr>
              <w:t>s target asset allocation to infrastructure, both directly and indirectly, as at 31.3.2015.</w:t>
            </w:r>
          </w:p>
        </w:tc>
        <w:tc>
          <w:tcPr>
            <w:tcW w:w="3787" w:type="dxa"/>
          </w:tcPr>
          <w:p w:rsidR="00092E30" w:rsidRDefault="00092E30" w:rsidP="00126615">
            <w:pPr>
              <w:spacing w:line="360" w:lineRule="auto"/>
              <w:ind w:left="337"/>
              <w:jc w:val="center"/>
              <w:rPr>
                <w:rFonts w:ascii="Calibri" w:hAnsi="Calibri" w:cs="Arial"/>
                <w:sz w:val="24"/>
                <w:szCs w:val="24"/>
              </w:rPr>
            </w:pPr>
          </w:p>
          <w:p w:rsidR="00607D83" w:rsidRPr="00432E20" w:rsidRDefault="00092E30" w:rsidP="00126615">
            <w:pPr>
              <w:spacing w:line="360" w:lineRule="auto"/>
              <w:ind w:left="337"/>
              <w:jc w:val="center"/>
              <w:rPr>
                <w:rFonts w:ascii="Calibri" w:hAnsi="Calibri" w:cs="Arial"/>
                <w:sz w:val="24"/>
                <w:szCs w:val="24"/>
              </w:rPr>
            </w:pPr>
            <w:r w:rsidRPr="00092E30">
              <w:rPr>
                <w:rFonts w:ascii="Calibri" w:hAnsi="Calibri" w:cs="Arial"/>
                <w:color w:val="0070C0"/>
                <w:sz w:val="24"/>
                <w:szCs w:val="24"/>
              </w:rPr>
              <w:t xml:space="preserve">TBA </w:t>
            </w:r>
            <w:r w:rsidR="00904E3F" w:rsidRPr="00432E20">
              <w:rPr>
                <w:rFonts w:ascii="Calibri" w:hAnsi="Calibri" w:cs="Arial"/>
                <w:sz w:val="24"/>
                <w:szCs w:val="24"/>
              </w:rPr>
              <w:t>%</w:t>
            </w:r>
          </w:p>
        </w:tc>
      </w:tr>
      <w:tr w:rsidR="00184D77" w:rsidRPr="00432E20" w:rsidTr="00412637">
        <w:tc>
          <w:tcPr>
            <w:tcW w:w="9741" w:type="dxa"/>
            <w:gridSpan w:val="2"/>
          </w:tcPr>
          <w:p w:rsidR="00184D77" w:rsidRPr="00432E20" w:rsidRDefault="00184D77" w:rsidP="000A2E78">
            <w:pPr>
              <w:spacing w:after="160" w:line="360" w:lineRule="auto"/>
              <w:ind w:left="1168"/>
              <w:rPr>
                <w:rFonts w:ascii="Calibri" w:hAnsi="Calibri" w:cs="Arial"/>
                <w:sz w:val="24"/>
                <w:szCs w:val="24"/>
              </w:rPr>
            </w:pPr>
            <w:r w:rsidRPr="00432E20">
              <w:rPr>
                <w:rFonts w:ascii="Calibri" w:hAnsi="Calibri" w:cs="Arial"/>
                <w:sz w:val="24"/>
                <w:szCs w:val="24"/>
              </w:rPr>
              <w:t>Please</w:t>
            </w:r>
            <w:r w:rsidR="000A2E78" w:rsidRPr="00432E20">
              <w:rPr>
                <w:rFonts w:ascii="Calibri" w:hAnsi="Calibri" w:cs="Arial"/>
                <w:sz w:val="24"/>
                <w:szCs w:val="24"/>
              </w:rPr>
              <w:t xml:space="preserve"> use the </w:t>
            </w:r>
            <w:r w:rsidRPr="00432E20">
              <w:rPr>
                <w:rFonts w:ascii="Calibri" w:hAnsi="Calibri" w:cs="Arial"/>
                <w:sz w:val="24"/>
                <w:szCs w:val="24"/>
              </w:rPr>
              <w:t xml:space="preserve">definition of infrastructure </w:t>
            </w:r>
            <w:r w:rsidR="000A2E78" w:rsidRPr="00432E20">
              <w:rPr>
                <w:rFonts w:ascii="Calibri" w:hAnsi="Calibri" w:cs="Arial"/>
                <w:sz w:val="24"/>
                <w:szCs w:val="24"/>
              </w:rPr>
              <w:t xml:space="preserve">agreed by </w:t>
            </w:r>
            <w:r w:rsidR="00CC3459" w:rsidRPr="00432E20">
              <w:rPr>
                <w:rFonts w:ascii="Calibri" w:hAnsi="Calibri" w:cs="Arial"/>
                <w:sz w:val="24"/>
                <w:szCs w:val="24"/>
              </w:rPr>
              <w:t>the Cross Pool Collaboration Group Infrastructure Sub-Group</w:t>
            </w:r>
            <w:r w:rsidR="000A2E78" w:rsidRPr="00432E20">
              <w:rPr>
                <w:rFonts w:ascii="Calibri" w:hAnsi="Calibri" w:cs="Arial"/>
                <w:sz w:val="24"/>
                <w:szCs w:val="24"/>
              </w:rPr>
              <w:t>.</w:t>
            </w:r>
            <w:r w:rsidR="00481C44" w:rsidRPr="00432E20">
              <w:rPr>
                <w:rFonts w:ascii="Calibri" w:hAnsi="Calibri" w:cs="Arial"/>
                <w:sz w:val="24"/>
                <w:szCs w:val="24"/>
              </w:rPr>
              <w:t xml:space="preserve"> </w:t>
            </w:r>
            <w:r w:rsidR="00621D0D" w:rsidRPr="00621D0D">
              <w:rPr>
                <w:rFonts w:ascii="Calibri" w:hAnsi="Calibri" w:cs="Arial"/>
                <w:color w:val="FF0000"/>
                <w:sz w:val="24"/>
                <w:szCs w:val="24"/>
              </w:rPr>
              <w:t>Awaiting final definition</w:t>
            </w:r>
            <w:r w:rsidR="00621D0D">
              <w:rPr>
                <w:rFonts w:ascii="Calibri" w:hAnsi="Calibri" w:cs="Arial"/>
                <w:color w:val="FF0000"/>
                <w:sz w:val="24"/>
                <w:szCs w:val="24"/>
              </w:rPr>
              <w:t xml:space="preserve"> from Cross Pool Group</w:t>
            </w:r>
          </w:p>
        </w:tc>
      </w:tr>
    </w:tbl>
    <w:p w:rsidR="00904E3F" w:rsidRPr="00432E20" w:rsidRDefault="00904E3F" w:rsidP="00904E3F">
      <w:pPr>
        <w:spacing w:after="0" w:line="360" w:lineRule="auto"/>
        <w:rPr>
          <w:rFonts w:ascii="Calibri" w:hAnsi="Calibri" w:cs="Arial"/>
          <w:sz w:val="24"/>
          <w:szCs w:val="24"/>
        </w:rPr>
      </w:pPr>
    </w:p>
    <w:tbl>
      <w:tblPr>
        <w:tblStyle w:val="TableGrid"/>
        <w:tblW w:w="0" w:type="auto"/>
        <w:tblInd w:w="-5" w:type="dxa"/>
        <w:tblLook w:val="04A0" w:firstRow="1" w:lastRow="0" w:firstColumn="1" w:lastColumn="0" w:noHBand="0" w:noVBand="1"/>
      </w:tblPr>
      <w:tblGrid>
        <w:gridCol w:w="5954"/>
        <w:gridCol w:w="3787"/>
      </w:tblGrid>
      <w:tr w:rsidR="00904E3F" w:rsidRPr="00432E20" w:rsidTr="00412637">
        <w:tc>
          <w:tcPr>
            <w:tcW w:w="9741" w:type="dxa"/>
            <w:gridSpan w:val="2"/>
            <w:shd w:val="clear" w:color="auto" w:fill="000000" w:themeFill="text1"/>
          </w:tcPr>
          <w:p w:rsidR="00904E3F" w:rsidRPr="00432E20" w:rsidRDefault="00904E3F" w:rsidP="00092E30">
            <w:pPr>
              <w:pStyle w:val="ListParagraph"/>
              <w:numPr>
                <w:ilvl w:val="0"/>
                <w:numId w:val="24"/>
              </w:numPr>
              <w:spacing w:line="360" w:lineRule="auto"/>
              <w:rPr>
                <w:rFonts w:ascii="Calibri" w:hAnsi="Calibri" w:cs="Arial"/>
                <w:b/>
                <w:color w:val="FFFFFF" w:themeColor="background1"/>
                <w:sz w:val="24"/>
                <w:szCs w:val="24"/>
              </w:rPr>
            </w:pPr>
            <w:r w:rsidRPr="00432E20">
              <w:rPr>
                <w:rFonts w:ascii="Calibri" w:hAnsi="Calibri" w:cs="Arial"/>
                <w:b/>
                <w:sz w:val="24"/>
                <w:szCs w:val="24"/>
              </w:rPr>
              <w:t>How the</w:t>
            </w:r>
            <w:r w:rsidR="000A2E78" w:rsidRPr="00432E20">
              <w:rPr>
                <w:rFonts w:ascii="Calibri" w:hAnsi="Calibri" w:cs="Arial"/>
                <w:b/>
                <w:sz w:val="24"/>
                <w:szCs w:val="24"/>
              </w:rPr>
              <w:t xml:space="preserve"> pool </w:t>
            </w:r>
            <w:r w:rsidRPr="00432E20">
              <w:rPr>
                <w:rFonts w:ascii="Calibri" w:hAnsi="Calibri" w:cs="Arial"/>
                <w:b/>
                <w:sz w:val="24"/>
                <w:szCs w:val="24"/>
              </w:rPr>
              <w:t xml:space="preserve">might develop or acquire the capacity and capability to assess infrastructure projects, and reduce costs by managing any subsequent investments through the </w:t>
            </w:r>
            <w:r w:rsidR="00481C44" w:rsidRPr="00432E20">
              <w:rPr>
                <w:rFonts w:ascii="Calibri" w:hAnsi="Calibri" w:cs="Arial"/>
                <w:b/>
                <w:sz w:val="24"/>
                <w:szCs w:val="24"/>
              </w:rPr>
              <w:t xml:space="preserve">combined </w:t>
            </w:r>
            <w:r w:rsidRPr="00432E20">
              <w:rPr>
                <w:rFonts w:ascii="Calibri" w:hAnsi="Calibri" w:cs="Arial"/>
                <w:b/>
                <w:sz w:val="24"/>
                <w:szCs w:val="24"/>
              </w:rPr>
              <w:t>pool, rather than existing fund, or “fund of funds” arrangements</w:t>
            </w:r>
            <w:r w:rsidR="00292B56" w:rsidRPr="00432E20">
              <w:rPr>
                <w:rFonts w:ascii="Calibri" w:hAnsi="Calibri" w:cs="Arial"/>
                <w:b/>
                <w:sz w:val="24"/>
                <w:szCs w:val="24"/>
              </w:rPr>
              <w:t>.</w:t>
            </w:r>
          </w:p>
        </w:tc>
      </w:tr>
      <w:tr w:rsidR="00904E3F" w:rsidRPr="00432E20" w:rsidTr="00412637">
        <w:tc>
          <w:tcPr>
            <w:tcW w:w="9741" w:type="dxa"/>
            <w:gridSpan w:val="2"/>
          </w:tcPr>
          <w:p w:rsidR="00481C44" w:rsidRDefault="00126615" w:rsidP="00092E30">
            <w:pPr>
              <w:pStyle w:val="ListParagraph"/>
              <w:numPr>
                <w:ilvl w:val="0"/>
                <w:numId w:val="31"/>
              </w:numPr>
              <w:rPr>
                <w:rFonts w:ascii="Calibri" w:hAnsi="Calibri" w:cs="Arial"/>
                <w:sz w:val="24"/>
                <w:szCs w:val="24"/>
              </w:rPr>
            </w:pPr>
            <w:r w:rsidRPr="00432E20">
              <w:rPr>
                <w:rFonts w:ascii="Calibri" w:hAnsi="Calibri" w:cs="Arial"/>
                <w:sz w:val="24"/>
                <w:szCs w:val="24"/>
              </w:rPr>
              <w:t xml:space="preserve">Please confirm that the pool is committed to </w:t>
            </w:r>
            <w:r w:rsidR="00904E3F" w:rsidRPr="00432E20">
              <w:rPr>
                <w:rFonts w:ascii="Calibri" w:hAnsi="Calibri" w:cs="Arial"/>
                <w:sz w:val="24"/>
                <w:szCs w:val="24"/>
              </w:rPr>
              <w:t>develop</w:t>
            </w:r>
            <w:r w:rsidRPr="00432E20">
              <w:rPr>
                <w:rFonts w:ascii="Calibri" w:hAnsi="Calibri" w:cs="Arial"/>
                <w:sz w:val="24"/>
                <w:szCs w:val="24"/>
              </w:rPr>
              <w:t>ing</w:t>
            </w:r>
            <w:r w:rsidR="00904E3F" w:rsidRPr="00432E20">
              <w:rPr>
                <w:rFonts w:ascii="Calibri" w:hAnsi="Calibri" w:cs="Arial"/>
                <w:sz w:val="24"/>
                <w:szCs w:val="24"/>
              </w:rPr>
              <w:t xml:space="preserve"> </w:t>
            </w:r>
            <w:r w:rsidRPr="00432E20">
              <w:rPr>
                <w:rFonts w:ascii="Calibri" w:hAnsi="Calibri" w:cs="Arial"/>
                <w:sz w:val="24"/>
                <w:szCs w:val="24"/>
              </w:rPr>
              <w:t xml:space="preserve">a collaborative infrastructure platform </w:t>
            </w:r>
            <w:r w:rsidR="00481C44" w:rsidRPr="00432E20">
              <w:rPr>
                <w:rFonts w:ascii="Calibri" w:hAnsi="Calibri" w:cs="Arial"/>
                <w:sz w:val="24"/>
                <w:szCs w:val="24"/>
              </w:rPr>
              <w:t xml:space="preserve">that offers opportunities through the utilisation of combined scale, to build </w:t>
            </w:r>
            <w:r w:rsidR="00904E3F" w:rsidRPr="00432E20">
              <w:rPr>
                <w:rFonts w:ascii="Calibri" w:hAnsi="Calibri" w:cs="Arial"/>
                <w:sz w:val="24"/>
                <w:szCs w:val="24"/>
              </w:rPr>
              <w:t xml:space="preserve">capability and capacity in order to </w:t>
            </w:r>
            <w:r w:rsidR="00481C44" w:rsidRPr="00432E20">
              <w:rPr>
                <w:rFonts w:ascii="Calibri" w:hAnsi="Calibri" w:cs="Arial"/>
                <w:sz w:val="24"/>
                <w:szCs w:val="24"/>
              </w:rPr>
              <w:t xml:space="preserve">offer </w:t>
            </w:r>
            <w:r w:rsidRPr="00432E20">
              <w:rPr>
                <w:rFonts w:ascii="Calibri" w:hAnsi="Calibri" w:cs="Arial"/>
                <w:sz w:val="24"/>
                <w:szCs w:val="24"/>
              </w:rPr>
              <w:t>authorities</w:t>
            </w:r>
            <w:r w:rsidR="00481C44" w:rsidRPr="00432E20">
              <w:rPr>
                <w:rFonts w:ascii="Calibri" w:hAnsi="Calibri" w:cs="Arial"/>
                <w:sz w:val="24"/>
                <w:szCs w:val="24"/>
              </w:rPr>
              <w:t xml:space="preserve"> (through their Pools) the ability to </w:t>
            </w:r>
            <w:r w:rsidR="00904E3F" w:rsidRPr="00432E20">
              <w:rPr>
                <w:rFonts w:ascii="Calibri" w:hAnsi="Calibri" w:cs="Arial"/>
                <w:sz w:val="24"/>
                <w:szCs w:val="24"/>
              </w:rPr>
              <w:t xml:space="preserve">access infrastructure opportunities appropriate to </w:t>
            </w:r>
            <w:r w:rsidR="00481C44" w:rsidRPr="00432E20">
              <w:rPr>
                <w:rFonts w:ascii="Calibri" w:hAnsi="Calibri" w:cs="Arial"/>
                <w:sz w:val="24"/>
                <w:szCs w:val="24"/>
              </w:rPr>
              <w:t>their</w:t>
            </w:r>
            <w:r w:rsidR="00904E3F" w:rsidRPr="00432E20">
              <w:rPr>
                <w:rFonts w:ascii="Calibri" w:hAnsi="Calibri" w:cs="Arial"/>
                <w:sz w:val="24"/>
                <w:szCs w:val="24"/>
              </w:rPr>
              <w:t xml:space="preserve"> risk appetite and return requirements </w:t>
            </w:r>
            <w:r w:rsidR="00481C44" w:rsidRPr="00432E20">
              <w:rPr>
                <w:rFonts w:ascii="Calibri" w:hAnsi="Calibri" w:cs="Arial"/>
                <w:sz w:val="24"/>
                <w:szCs w:val="24"/>
              </w:rPr>
              <w:t>more efficiently</w:t>
            </w:r>
            <w:r w:rsidR="00BB0E3C" w:rsidRPr="00432E20">
              <w:rPr>
                <w:rFonts w:ascii="Calibri" w:hAnsi="Calibri" w:cs="Arial"/>
                <w:sz w:val="24"/>
                <w:szCs w:val="24"/>
              </w:rPr>
              <w:t xml:space="preserve"> </w:t>
            </w:r>
            <w:r w:rsidR="00AD1FA8" w:rsidRPr="00432E20">
              <w:rPr>
                <w:rFonts w:ascii="Calibri" w:hAnsi="Calibri" w:cs="Arial"/>
                <w:sz w:val="24"/>
                <w:szCs w:val="24"/>
              </w:rPr>
              <w:t xml:space="preserve">and </w:t>
            </w:r>
            <w:r w:rsidR="00481C44" w:rsidRPr="00432E20">
              <w:rPr>
                <w:rFonts w:ascii="Calibri" w:hAnsi="Calibri" w:cs="Arial"/>
                <w:sz w:val="24"/>
                <w:szCs w:val="24"/>
              </w:rPr>
              <w:t xml:space="preserve">effectively. </w:t>
            </w:r>
          </w:p>
          <w:p w:rsidR="000732FD" w:rsidRPr="00432E20" w:rsidRDefault="000732FD" w:rsidP="00621D0D">
            <w:pPr>
              <w:pStyle w:val="ListParagraph"/>
              <w:ind w:left="1080"/>
              <w:rPr>
                <w:rFonts w:ascii="Calibri" w:hAnsi="Calibri" w:cs="Arial"/>
                <w:sz w:val="24"/>
                <w:szCs w:val="24"/>
              </w:rPr>
            </w:pPr>
          </w:p>
          <w:p w:rsidR="00092E30" w:rsidRPr="008A7928" w:rsidRDefault="00092E30" w:rsidP="00092E30">
            <w:pPr>
              <w:spacing w:line="360" w:lineRule="auto"/>
              <w:ind w:left="1026"/>
              <w:rPr>
                <w:rFonts w:ascii="Calibri" w:hAnsi="Calibri" w:cs="Arial"/>
                <w:color w:val="4472C4" w:themeColor="accent5"/>
                <w:sz w:val="24"/>
                <w:szCs w:val="24"/>
              </w:rPr>
            </w:pPr>
            <w:r w:rsidRPr="008A7928">
              <w:rPr>
                <w:rFonts w:ascii="Calibri" w:hAnsi="Calibri" w:cs="Arial"/>
                <w:color w:val="4472C4" w:themeColor="accent5"/>
                <w:sz w:val="24"/>
                <w:szCs w:val="24"/>
              </w:rPr>
              <w:t>Aim of the Cross Pool Collaboration Infrastructure Group:-</w:t>
            </w:r>
          </w:p>
          <w:p w:rsidR="00092E30" w:rsidRPr="008A7928" w:rsidRDefault="00092E30" w:rsidP="00092E30">
            <w:pPr>
              <w:spacing w:line="360" w:lineRule="auto"/>
              <w:ind w:left="1026"/>
              <w:rPr>
                <w:rFonts w:ascii="Calibri" w:hAnsi="Calibri" w:cs="Arial"/>
                <w:color w:val="4472C4" w:themeColor="accent5"/>
                <w:sz w:val="24"/>
                <w:szCs w:val="24"/>
              </w:rPr>
            </w:pPr>
            <w:r w:rsidRPr="008A7928">
              <w:rPr>
                <w:rFonts w:ascii="Calibri" w:hAnsi="Calibri" w:cs="Arial"/>
                <w:color w:val="4472C4" w:themeColor="accent5"/>
                <w:sz w:val="24"/>
                <w:szCs w:val="24"/>
              </w:rPr>
              <w:t xml:space="preserve">To develop a collaborative infrastructure  framework that offers opportunities through the utilisation of combined scale, to build capability and capacity in order to offer Funds (through their Pools) the ability to access infrastructure opportunities appropriate to their risk appetite and return requirements more efficiently and effectively. </w:t>
            </w:r>
          </w:p>
          <w:p w:rsidR="00904E3F" w:rsidRPr="00432E20" w:rsidRDefault="00904E3F" w:rsidP="00A56BCB">
            <w:pPr>
              <w:spacing w:line="360" w:lineRule="auto"/>
              <w:rPr>
                <w:rFonts w:ascii="Calibri" w:hAnsi="Calibri" w:cs="Arial"/>
                <w:sz w:val="24"/>
                <w:szCs w:val="24"/>
              </w:rPr>
            </w:pPr>
          </w:p>
        </w:tc>
      </w:tr>
      <w:tr w:rsidR="00904E3F" w:rsidRPr="00432E20" w:rsidTr="00412637">
        <w:tc>
          <w:tcPr>
            <w:tcW w:w="5954" w:type="dxa"/>
          </w:tcPr>
          <w:p w:rsidR="00904E3F" w:rsidRPr="00432E20" w:rsidRDefault="00481C44" w:rsidP="00092E30">
            <w:pPr>
              <w:pStyle w:val="ListParagraph"/>
              <w:numPr>
                <w:ilvl w:val="0"/>
                <w:numId w:val="31"/>
              </w:numPr>
              <w:rPr>
                <w:rFonts w:ascii="Calibri" w:hAnsi="Calibri" w:cs="Arial"/>
                <w:sz w:val="24"/>
                <w:szCs w:val="24"/>
              </w:rPr>
            </w:pPr>
            <w:r w:rsidRPr="00432E20">
              <w:rPr>
                <w:rFonts w:ascii="Calibri" w:hAnsi="Calibri" w:cs="Arial"/>
                <w:sz w:val="24"/>
                <w:szCs w:val="24"/>
              </w:rPr>
              <w:t xml:space="preserve">Please confirm that the </w:t>
            </w:r>
            <w:r w:rsidR="000A2E78" w:rsidRPr="00432E20">
              <w:rPr>
                <w:rFonts w:ascii="Calibri" w:hAnsi="Calibri" w:cs="Arial"/>
                <w:sz w:val="24"/>
                <w:szCs w:val="24"/>
              </w:rPr>
              <w:t>p</w:t>
            </w:r>
            <w:r w:rsidRPr="00432E20">
              <w:rPr>
                <w:rFonts w:ascii="Calibri" w:hAnsi="Calibri" w:cs="Arial"/>
                <w:sz w:val="24"/>
                <w:szCs w:val="24"/>
              </w:rPr>
              <w:t>ool is committed to continuing to work with all the other Pools (through the Cross Pool Collaboration Infrastructure Group) to progress the development of a collaborative infrastructure initiative that</w:t>
            </w:r>
            <w:r w:rsidR="00126615" w:rsidRPr="00432E20">
              <w:rPr>
                <w:rFonts w:ascii="Calibri" w:hAnsi="Calibri" w:cs="Arial"/>
                <w:sz w:val="24"/>
                <w:szCs w:val="24"/>
              </w:rPr>
              <w:t xml:space="preserve"> will be available to all Pools and include a timescale for implementation of the initiative.</w:t>
            </w:r>
          </w:p>
        </w:tc>
        <w:tc>
          <w:tcPr>
            <w:tcW w:w="3787" w:type="dxa"/>
          </w:tcPr>
          <w:p w:rsidR="00126615" w:rsidRPr="00432E20" w:rsidRDefault="00126615" w:rsidP="00126615">
            <w:pPr>
              <w:spacing w:line="360" w:lineRule="auto"/>
              <w:rPr>
                <w:rFonts w:ascii="Calibri" w:hAnsi="Calibri" w:cs="Arial"/>
                <w:sz w:val="24"/>
                <w:szCs w:val="24"/>
              </w:rPr>
            </w:pPr>
          </w:p>
          <w:p w:rsidR="00904E3F" w:rsidRPr="00432E20" w:rsidRDefault="00126615" w:rsidP="00126615">
            <w:pPr>
              <w:spacing w:line="360" w:lineRule="auto"/>
              <w:rPr>
                <w:rFonts w:ascii="Calibri" w:hAnsi="Calibri" w:cs="Arial"/>
                <w:sz w:val="24"/>
                <w:szCs w:val="24"/>
              </w:rPr>
            </w:pPr>
            <w:r w:rsidRPr="00432E20">
              <w:rPr>
                <w:rFonts w:ascii="Calibri" w:hAnsi="Calibri" w:cs="Arial"/>
                <w:sz w:val="24"/>
                <w:szCs w:val="24"/>
              </w:rPr>
              <w:t>Confirmed</w:t>
            </w:r>
            <w:r w:rsidRPr="00092E30">
              <w:rPr>
                <w:rFonts w:ascii="Calibri" w:hAnsi="Calibri" w:cs="Arial"/>
                <w:color w:val="0070C0"/>
                <w:sz w:val="24"/>
                <w:szCs w:val="24"/>
              </w:rPr>
              <w:t xml:space="preserve"> </w:t>
            </w:r>
            <w:r w:rsidR="00092E30" w:rsidRPr="00092E30">
              <w:rPr>
                <w:rFonts w:ascii="Calibri" w:hAnsi="Calibri" w:cs="Arial"/>
                <w:color w:val="0070C0"/>
                <w:sz w:val="24"/>
                <w:szCs w:val="24"/>
              </w:rPr>
              <w:t>Yes</w:t>
            </w:r>
          </w:p>
          <w:p w:rsidR="00126615" w:rsidRDefault="00126615" w:rsidP="00126615">
            <w:pPr>
              <w:spacing w:line="360" w:lineRule="auto"/>
              <w:rPr>
                <w:rFonts w:ascii="Calibri" w:hAnsi="Calibri" w:cs="Arial"/>
                <w:sz w:val="24"/>
                <w:szCs w:val="24"/>
              </w:rPr>
            </w:pPr>
            <w:r w:rsidRPr="00432E20">
              <w:rPr>
                <w:rFonts w:ascii="Calibri" w:hAnsi="Calibri" w:cs="Arial"/>
                <w:sz w:val="24"/>
                <w:szCs w:val="24"/>
              </w:rPr>
              <w:t>Details attached as ANNEX number</w:t>
            </w:r>
          </w:p>
          <w:p w:rsidR="00092E30" w:rsidRPr="008D6B80" w:rsidRDefault="00092E30" w:rsidP="00126615">
            <w:pPr>
              <w:spacing w:line="360" w:lineRule="auto"/>
              <w:rPr>
                <w:rFonts w:ascii="Calibri" w:hAnsi="Calibri" w:cs="Arial"/>
                <w:b/>
                <w:sz w:val="24"/>
                <w:szCs w:val="24"/>
              </w:rPr>
            </w:pPr>
          </w:p>
        </w:tc>
      </w:tr>
      <w:tr w:rsidR="00904E3F" w:rsidRPr="00432E20" w:rsidTr="00412637">
        <w:tc>
          <w:tcPr>
            <w:tcW w:w="5954" w:type="dxa"/>
          </w:tcPr>
          <w:p w:rsidR="00904E3F" w:rsidRPr="00432E20" w:rsidRDefault="00126615" w:rsidP="00092E30">
            <w:pPr>
              <w:pStyle w:val="ListParagraph"/>
              <w:numPr>
                <w:ilvl w:val="0"/>
                <w:numId w:val="31"/>
              </w:numPr>
              <w:rPr>
                <w:rFonts w:ascii="Calibri" w:hAnsi="Calibri" w:cs="Arial"/>
                <w:sz w:val="24"/>
                <w:szCs w:val="24"/>
              </w:rPr>
            </w:pPr>
            <w:r w:rsidRPr="00432E20">
              <w:rPr>
                <w:rFonts w:ascii="Calibri" w:hAnsi="Calibri" w:cs="Arial"/>
                <w:sz w:val="24"/>
                <w:szCs w:val="24"/>
              </w:rPr>
              <w:t xml:space="preserve">[If different to above] </w:t>
            </w:r>
            <w:r w:rsidR="00CC3459" w:rsidRPr="00432E20">
              <w:rPr>
                <w:rFonts w:ascii="Calibri" w:hAnsi="Calibri" w:cs="Arial"/>
                <w:sz w:val="24"/>
                <w:szCs w:val="24"/>
              </w:rPr>
              <w:t>Please</w:t>
            </w:r>
            <w:r w:rsidR="00904E3F" w:rsidRPr="00432E20">
              <w:rPr>
                <w:rFonts w:ascii="Calibri" w:hAnsi="Calibri" w:cs="Arial"/>
                <w:sz w:val="24"/>
                <w:szCs w:val="24"/>
              </w:rPr>
              <w:t xml:space="preserve"> attach an ANNEX setting out how the pool </w:t>
            </w:r>
            <w:r w:rsidR="00405E5A" w:rsidRPr="00432E20">
              <w:rPr>
                <w:rFonts w:ascii="Calibri" w:hAnsi="Calibri" w:cs="Arial"/>
                <w:sz w:val="24"/>
                <w:szCs w:val="24"/>
              </w:rPr>
              <w:t>might</w:t>
            </w:r>
            <w:r w:rsidR="00904E3F" w:rsidRPr="00432E20">
              <w:rPr>
                <w:rFonts w:ascii="Calibri" w:hAnsi="Calibri" w:cs="Arial"/>
                <w:sz w:val="24"/>
                <w:szCs w:val="24"/>
              </w:rPr>
              <w:t xml:space="preserve"> develop </w:t>
            </w:r>
            <w:r w:rsidRPr="00432E20">
              <w:rPr>
                <w:rFonts w:ascii="Calibri" w:hAnsi="Calibri" w:cs="Arial"/>
                <w:sz w:val="24"/>
                <w:szCs w:val="24"/>
              </w:rPr>
              <w:t xml:space="preserve">the </w:t>
            </w:r>
            <w:r w:rsidR="00904E3F" w:rsidRPr="00432E20">
              <w:rPr>
                <w:rFonts w:ascii="Calibri" w:hAnsi="Calibri" w:cs="Arial"/>
                <w:sz w:val="24"/>
                <w:szCs w:val="24"/>
              </w:rPr>
              <w:lastRenderedPageBreak/>
              <w:t xml:space="preserve">capability and capacity </w:t>
            </w:r>
            <w:r w:rsidR="00405E5A" w:rsidRPr="00432E20">
              <w:rPr>
                <w:rFonts w:ascii="Calibri" w:hAnsi="Calibri" w:cs="Arial"/>
                <w:sz w:val="24"/>
                <w:szCs w:val="24"/>
              </w:rPr>
              <w:t xml:space="preserve">in </w:t>
            </w:r>
            <w:r w:rsidRPr="00432E20">
              <w:rPr>
                <w:rFonts w:ascii="Calibri" w:hAnsi="Calibri" w:cs="Arial"/>
                <w:sz w:val="24"/>
                <w:szCs w:val="24"/>
              </w:rPr>
              <w:t>this asset class, through developing its own resources and / or accessing shared resources of other Pools and include a timescale for implementation of the initiative.</w:t>
            </w:r>
          </w:p>
        </w:tc>
        <w:tc>
          <w:tcPr>
            <w:tcW w:w="3787" w:type="dxa"/>
          </w:tcPr>
          <w:p w:rsidR="00904E3F" w:rsidRPr="00432E20" w:rsidRDefault="00904E3F" w:rsidP="00904E3F">
            <w:pPr>
              <w:spacing w:line="360" w:lineRule="auto"/>
              <w:rPr>
                <w:rFonts w:ascii="Calibri" w:hAnsi="Calibri" w:cs="Arial"/>
                <w:sz w:val="24"/>
                <w:szCs w:val="24"/>
              </w:rPr>
            </w:pPr>
            <w:r w:rsidRPr="00432E20">
              <w:rPr>
                <w:rFonts w:ascii="Calibri" w:hAnsi="Calibri" w:cs="Arial"/>
                <w:sz w:val="24"/>
                <w:szCs w:val="24"/>
              </w:rPr>
              <w:lastRenderedPageBreak/>
              <w:t>Attached as ANNEX number</w:t>
            </w:r>
          </w:p>
        </w:tc>
      </w:tr>
    </w:tbl>
    <w:p w:rsidR="00904E3F" w:rsidRPr="00432E20" w:rsidRDefault="00904E3F" w:rsidP="00904E3F">
      <w:pPr>
        <w:spacing w:after="0" w:line="360" w:lineRule="auto"/>
        <w:rPr>
          <w:rFonts w:ascii="Calibri" w:hAnsi="Calibri" w:cs="Arial"/>
          <w:sz w:val="24"/>
          <w:szCs w:val="24"/>
        </w:rPr>
      </w:pPr>
    </w:p>
    <w:tbl>
      <w:tblPr>
        <w:tblStyle w:val="TableGrid"/>
        <w:tblW w:w="0" w:type="auto"/>
        <w:tblInd w:w="-5" w:type="dxa"/>
        <w:tblLook w:val="04A0" w:firstRow="1" w:lastRow="0" w:firstColumn="1" w:lastColumn="0" w:noHBand="0" w:noVBand="1"/>
      </w:tblPr>
      <w:tblGrid>
        <w:gridCol w:w="5954"/>
        <w:gridCol w:w="3787"/>
      </w:tblGrid>
      <w:tr w:rsidR="00904E3F" w:rsidRPr="00432E20" w:rsidTr="00412637">
        <w:tc>
          <w:tcPr>
            <w:tcW w:w="9741" w:type="dxa"/>
            <w:gridSpan w:val="2"/>
            <w:shd w:val="clear" w:color="auto" w:fill="000000" w:themeFill="text1"/>
          </w:tcPr>
          <w:p w:rsidR="00904E3F" w:rsidRPr="00432E20" w:rsidRDefault="00904E3F" w:rsidP="00092E30">
            <w:pPr>
              <w:pStyle w:val="ListParagraph"/>
              <w:numPr>
                <w:ilvl w:val="0"/>
                <w:numId w:val="26"/>
              </w:numPr>
              <w:spacing w:line="360" w:lineRule="auto"/>
              <w:rPr>
                <w:rFonts w:ascii="Calibri" w:hAnsi="Calibri" w:cs="Arial"/>
                <w:b/>
                <w:color w:val="FFFFFF" w:themeColor="background1"/>
                <w:sz w:val="24"/>
                <w:szCs w:val="24"/>
              </w:rPr>
            </w:pPr>
            <w:r w:rsidRPr="00432E20">
              <w:rPr>
                <w:rFonts w:ascii="Calibri" w:hAnsi="Calibri" w:cs="Arial"/>
                <w:b/>
                <w:sz w:val="24"/>
                <w:szCs w:val="24"/>
              </w:rPr>
              <w:t xml:space="preserve">The proportion </w:t>
            </w:r>
            <w:r w:rsidR="00481C44" w:rsidRPr="00432E20">
              <w:rPr>
                <w:rFonts w:ascii="Calibri" w:hAnsi="Calibri" w:cs="Arial"/>
                <w:b/>
                <w:sz w:val="24"/>
                <w:szCs w:val="24"/>
              </w:rPr>
              <w:t>the</w:t>
            </w:r>
            <w:r w:rsidR="00853645" w:rsidRPr="00432E20">
              <w:rPr>
                <w:rFonts w:ascii="Calibri" w:hAnsi="Calibri" w:cs="Arial"/>
                <w:b/>
                <w:sz w:val="24"/>
                <w:szCs w:val="24"/>
              </w:rPr>
              <w:t xml:space="preserve"> </w:t>
            </w:r>
            <w:r w:rsidR="00405E5A" w:rsidRPr="00432E20">
              <w:rPr>
                <w:rFonts w:ascii="Calibri" w:hAnsi="Calibri" w:cs="Arial"/>
                <w:b/>
                <w:sz w:val="24"/>
                <w:szCs w:val="24"/>
              </w:rPr>
              <w:t>pool</w:t>
            </w:r>
            <w:r w:rsidRPr="00432E20">
              <w:rPr>
                <w:rFonts w:ascii="Calibri" w:hAnsi="Calibri" w:cs="Arial"/>
                <w:b/>
                <w:sz w:val="24"/>
                <w:szCs w:val="24"/>
              </w:rPr>
              <w:t xml:space="preserve"> </w:t>
            </w:r>
            <w:r w:rsidR="00CD0AA5" w:rsidRPr="00432E20">
              <w:rPr>
                <w:rFonts w:ascii="Calibri" w:hAnsi="Calibri" w:cs="Arial"/>
                <w:b/>
                <w:sz w:val="24"/>
                <w:szCs w:val="24"/>
              </w:rPr>
              <w:t>could</w:t>
            </w:r>
            <w:r w:rsidRPr="00432E20">
              <w:rPr>
                <w:rFonts w:ascii="Calibri" w:hAnsi="Calibri" w:cs="Arial"/>
                <w:b/>
                <w:sz w:val="24"/>
                <w:szCs w:val="24"/>
              </w:rPr>
              <w:t xml:space="preserve"> invest in infrastructure, and their ambition in this area going forward, as well as how they have arrived at </w:t>
            </w:r>
            <w:r w:rsidR="00507352" w:rsidRPr="00432E20">
              <w:rPr>
                <w:rFonts w:ascii="Calibri" w:hAnsi="Calibri" w:cs="Arial"/>
                <w:b/>
                <w:sz w:val="24"/>
                <w:szCs w:val="24"/>
              </w:rPr>
              <w:t>this position</w:t>
            </w:r>
            <w:r w:rsidR="00292B56" w:rsidRPr="00432E20">
              <w:rPr>
                <w:rFonts w:ascii="Calibri" w:hAnsi="Calibri" w:cs="Arial"/>
                <w:b/>
                <w:sz w:val="24"/>
                <w:szCs w:val="24"/>
              </w:rPr>
              <w:t>.</w:t>
            </w:r>
          </w:p>
        </w:tc>
      </w:tr>
      <w:tr w:rsidR="00904E3F" w:rsidRPr="00432E20" w:rsidTr="00412637">
        <w:tc>
          <w:tcPr>
            <w:tcW w:w="5954" w:type="dxa"/>
          </w:tcPr>
          <w:p w:rsidR="00904E3F" w:rsidRDefault="00904E3F" w:rsidP="00092E30">
            <w:pPr>
              <w:pStyle w:val="ListParagraph"/>
              <w:numPr>
                <w:ilvl w:val="0"/>
                <w:numId w:val="25"/>
              </w:numPr>
              <w:spacing w:line="360" w:lineRule="auto"/>
              <w:ind w:left="1080"/>
              <w:rPr>
                <w:rFonts w:ascii="Calibri" w:hAnsi="Calibri" w:cs="Arial"/>
                <w:sz w:val="24"/>
                <w:szCs w:val="24"/>
              </w:rPr>
            </w:pPr>
            <w:r w:rsidRPr="00432E20">
              <w:rPr>
                <w:rFonts w:ascii="Calibri" w:hAnsi="Calibri" w:cs="Arial"/>
                <w:sz w:val="24"/>
                <w:szCs w:val="24"/>
              </w:rPr>
              <w:t xml:space="preserve">Please state the </w:t>
            </w:r>
            <w:r w:rsidR="00AD1FA8" w:rsidRPr="00432E20">
              <w:rPr>
                <w:rFonts w:ascii="Calibri" w:hAnsi="Calibri" w:cs="Arial"/>
                <w:sz w:val="24"/>
                <w:szCs w:val="24"/>
              </w:rPr>
              <w:t>estimated total target</w:t>
            </w:r>
            <w:r w:rsidRPr="00432E20">
              <w:rPr>
                <w:rFonts w:ascii="Calibri" w:hAnsi="Calibri" w:cs="Arial"/>
                <w:sz w:val="24"/>
                <w:szCs w:val="24"/>
              </w:rPr>
              <w:t xml:space="preserve"> allocat</w:t>
            </w:r>
            <w:r w:rsidR="00AD1FA8" w:rsidRPr="00432E20">
              <w:rPr>
                <w:rFonts w:ascii="Calibri" w:hAnsi="Calibri" w:cs="Arial"/>
                <w:sz w:val="24"/>
                <w:szCs w:val="24"/>
              </w:rPr>
              <w:t>ion</w:t>
            </w:r>
            <w:r w:rsidRPr="00432E20">
              <w:rPr>
                <w:rFonts w:ascii="Calibri" w:hAnsi="Calibri" w:cs="Arial"/>
                <w:sz w:val="24"/>
                <w:szCs w:val="24"/>
              </w:rPr>
              <w:t xml:space="preserve"> to infrastructure</w:t>
            </w:r>
            <w:r w:rsidR="00CD0AA5" w:rsidRPr="00432E20">
              <w:rPr>
                <w:rFonts w:ascii="Calibri" w:hAnsi="Calibri" w:cs="Arial"/>
                <w:sz w:val="24"/>
                <w:szCs w:val="24"/>
              </w:rPr>
              <w:t>,</w:t>
            </w:r>
            <w:r w:rsidRPr="00432E20">
              <w:rPr>
                <w:rFonts w:ascii="Calibri" w:hAnsi="Calibri" w:cs="Arial"/>
                <w:sz w:val="24"/>
                <w:szCs w:val="24"/>
              </w:rPr>
              <w:t xml:space="preserve"> </w:t>
            </w:r>
            <w:r w:rsidR="00405E5A" w:rsidRPr="00432E20">
              <w:rPr>
                <w:rFonts w:ascii="Calibri" w:hAnsi="Calibri" w:cs="Arial"/>
                <w:sz w:val="24"/>
                <w:szCs w:val="24"/>
              </w:rPr>
              <w:t xml:space="preserve">or provide a statement of potential strategic </w:t>
            </w:r>
            <w:r w:rsidR="00126615" w:rsidRPr="00432E20">
              <w:rPr>
                <w:rFonts w:ascii="Calibri" w:hAnsi="Calibri" w:cs="Arial"/>
                <w:sz w:val="24"/>
                <w:szCs w:val="24"/>
              </w:rPr>
              <w:t>investment</w:t>
            </w:r>
            <w:r w:rsidR="00CD0AA5" w:rsidRPr="00432E20">
              <w:rPr>
                <w:rFonts w:ascii="Calibri" w:hAnsi="Calibri" w:cs="Arial"/>
                <w:sz w:val="24"/>
                <w:szCs w:val="24"/>
              </w:rPr>
              <w:t>,</w:t>
            </w:r>
            <w:r w:rsidR="00405E5A" w:rsidRPr="00432E20">
              <w:rPr>
                <w:rFonts w:ascii="Calibri" w:hAnsi="Calibri" w:cs="Arial"/>
                <w:sz w:val="24"/>
                <w:szCs w:val="24"/>
              </w:rPr>
              <w:t xml:space="preserve"> </w:t>
            </w:r>
            <w:r w:rsidR="00AD1FA8" w:rsidRPr="00432E20">
              <w:rPr>
                <w:rFonts w:ascii="Calibri" w:hAnsi="Calibri" w:cs="Arial"/>
                <w:sz w:val="24"/>
                <w:szCs w:val="24"/>
              </w:rPr>
              <w:t>once the capacity and capability referred to in 2 above is in full operation</w:t>
            </w:r>
            <w:r w:rsidR="00481C44" w:rsidRPr="00432E20">
              <w:rPr>
                <w:rFonts w:ascii="Calibri" w:hAnsi="Calibri" w:cs="Arial"/>
                <w:sz w:val="24"/>
                <w:szCs w:val="24"/>
              </w:rPr>
              <w:t xml:space="preserve"> and mature</w:t>
            </w:r>
            <w:r w:rsidR="00AD1FA8" w:rsidRPr="00432E20">
              <w:rPr>
                <w:rFonts w:ascii="Calibri" w:hAnsi="Calibri" w:cs="Arial"/>
                <w:sz w:val="24"/>
                <w:szCs w:val="24"/>
              </w:rPr>
              <w:t xml:space="preserve">. </w:t>
            </w:r>
          </w:p>
          <w:p w:rsidR="00092E30" w:rsidRPr="004F3A90" w:rsidRDefault="00092E30" w:rsidP="00092E30">
            <w:pPr>
              <w:pStyle w:val="ListParagraph"/>
              <w:spacing w:line="360" w:lineRule="auto"/>
              <w:ind w:left="1080"/>
              <w:rPr>
                <w:rFonts w:ascii="Calibri" w:hAnsi="Calibri" w:cs="Arial"/>
                <w:color w:val="FF0000"/>
                <w:sz w:val="24"/>
                <w:szCs w:val="24"/>
              </w:rPr>
            </w:pPr>
            <w:r w:rsidRPr="004F3A90">
              <w:rPr>
                <w:rFonts w:ascii="Calibri" w:hAnsi="Calibri" w:cs="Arial"/>
                <w:color w:val="FF0000"/>
                <w:sz w:val="24"/>
                <w:szCs w:val="24"/>
              </w:rPr>
              <w:t xml:space="preserve">Awaiting responses from </w:t>
            </w:r>
            <w:r w:rsidR="009F15E9" w:rsidRPr="004F3A90">
              <w:rPr>
                <w:rFonts w:ascii="Calibri" w:hAnsi="Calibri" w:cs="Arial"/>
                <w:color w:val="FF0000"/>
                <w:sz w:val="24"/>
                <w:szCs w:val="24"/>
              </w:rPr>
              <w:t>Authorities</w:t>
            </w:r>
          </w:p>
          <w:p w:rsidR="00405E5A" w:rsidRPr="00432E20" w:rsidRDefault="00405E5A" w:rsidP="00A56BCB">
            <w:pPr>
              <w:spacing w:line="360" w:lineRule="auto"/>
              <w:rPr>
                <w:rFonts w:ascii="Calibri" w:hAnsi="Calibri" w:cs="Arial"/>
                <w:sz w:val="24"/>
                <w:szCs w:val="24"/>
              </w:rPr>
            </w:pPr>
          </w:p>
        </w:tc>
        <w:tc>
          <w:tcPr>
            <w:tcW w:w="3787" w:type="dxa"/>
          </w:tcPr>
          <w:p w:rsidR="00126615" w:rsidRPr="00432E20" w:rsidRDefault="00126615" w:rsidP="00126615">
            <w:pPr>
              <w:spacing w:line="360" w:lineRule="auto"/>
              <w:rPr>
                <w:rFonts w:ascii="Calibri" w:hAnsi="Calibri" w:cs="Arial"/>
                <w:sz w:val="24"/>
                <w:szCs w:val="24"/>
              </w:rPr>
            </w:pPr>
          </w:p>
          <w:p w:rsidR="00904E3F" w:rsidRPr="00432E20" w:rsidRDefault="00904E3F" w:rsidP="00126615">
            <w:pPr>
              <w:spacing w:line="360" w:lineRule="auto"/>
              <w:jc w:val="center"/>
              <w:rPr>
                <w:rFonts w:ascii="Calibri" w:hAnsi="Calibri" w:cs="Arial"/>
                <w:sz w:val="24"/>
                <w:szCs w:val="24"/>
              </w:rPr>
            </w:pPr>
            <w:r w:rsidRPr="00432E20">
              <w:rPr>
                <w:rFonts w:ascii="Calibri" w:hAnsi="Calibri" w:cs="Arial"/>
                <w:sz w:val="24"/>
                <w:szCs w:val="24"/>
              </w:rPr>
              <w:t>%</w:t>
            </w:r>
          </w:p>
        </w:tc>
      </w:tr>
      <w:tr w:rsidR="00184D77" w:rsidRPr="00095E0E" w:rsidTr="00412637">
        <w:tc>
          <w:tcPr>
            <w:tcW w:w="9741" w:type="dxa"/>
            <w:gridSpan w:val="2"/>
          </w:tcPr>
          <w:p w:rsidR="00184D77" w:rsidRDefault="00CD0AA5" w:rsidP="00092E30">
            <w:pPr>
              <w:pStyle w:val="ListParagraph"/>
              <w:numPr>
                <w:ilvl w:val="0"/>
                <w:numId w:val="30"/>
              </w:numPr>
              <w:spacing w:line="360" w:lineRule="auto"/>
              <w:rPr>
                <w:rFonts w:ascii="Calibri" w:hAnsi="Calibri" w:cs="Arial"/>
                <w:sz w:val="24"/>
                <w:szCs w:val="24"/>
              </w:rPr>
            </w:pPr>
            <w:r w:rsidRPr="00432E20">
              <w:rPr>
                <w:rFonts w:ascii="Calibri" w:hAnsi="Calibri" w:cs="Arial"/>
                <w:sz w:val="24"/>
                <w:szCs w:val="24"/>
              </w:rPr>
              <w:t>Please describe the conditions in which this allocation could be realised.</w:t>
            </w:r>
          </w:p>
          <w:p w:rsidR="00092E30" w:rsidRDefault="00092E30" w:rsidP="00092E30">
            <w:pPr>
              <w:pStyle w:val="ListParagraph"/>
              <w:spacing w:line="360" w:lineRule="auto"/>
              <w:ind w:left="1080"/>
              <w:rPr>
                <w:rFonts w:ascii="Calibri" w:hAnsi="Calibri" w:cs="Arial"/>
                <w:color w:val="2F5496" w:themeColor="accent5" w:themeShade="BF"/>
                <w:sz w:val="24"/>
                <w:szCs w:val="24"/>
              </w:rPr>
            </w:pPr>
            <w:r>
              <w:rPr>
                <w:rFonts w:ascii="Calibri" w:hAnsi="Calibri" w:cs="Arial"/>
                <w:color w:val="2F5496" w:themeColor="accent5" w:themeShade="BF"/>
                <w:sz w:val="24"/>
                <w:szCs w:val="24"/>
              </w:rPr>
              <w:t>The allocation to infrastructure will be a decision which is made at the</w:t>
            </w:r>
            <w:r w:rsidR="004F3A90">
              <w:rPr>
                <w:rFonts w:ascii="Calibri" w:hAnsi="Calibri" w:cs="Arial"/>
                <w:color w:val="2F5496" w:themeColor="accent5" w:themeShade="BF"/>
                <w:sz w:val="24"/>
                <w:szCs w:val="24"/>
              </w:rPr>
              <w:t xml:space="preserve"> London Local Authority</w:t>
            </w:r>
            <w:r>
              <w:rPr>
                <w:rFonts w:ascii="Calibri" w:hAnsi="Calibri" w:cs="Arial"/>
                <w:color w:val="2F5496" w:themeColor="accent5" w:themeShade="BF"/>
                <w:sz w:val="24"/>
                <w:szCs w:val="24"/>
              </w:rPr>
              <w:t xml:space="preserve"> level when deciding asset allocation, however the CIV will ensure that it has the mechanisms in place and the opportunities for the relevant Funds to meet their asset allocation requirements when deciding to invest in infrastructure. </w:t>
            </w:r>
          </w:p>
          <w:p w:rsidR="00092E30" w:rsidRDefault="00092E30" w:rsidP="00092E30">
            <w:pPr>
              <w:pStyle w:val="ListParagraph"/>
              <w:spacing w:line="360" w:lineRule="auto"/>
              <w:ind w:left="1080"/>
              <w:rPr>
                <w:rFonts w:ascii="Calibri" w:hAnsi="Calibri" w:cs="Arial"/>
                <w:sz w:val="24"/>
                <w:szCs w:val="24"/>
              </w:rPr>
            </w:pPr>
            <w:r>
              <w:rPr>
                <w:rFonts w:ascii="Calibri" w:hAnsi="Calibri" w:cs="Arial"/>
                <w:color w:val="2F5496" w:themeColor="accent5" w:themeShade="BF"/>
                <w:sz w:val="24"/>
                <w:szCs w:val="24"/>
              </w:rPr>
              <w:t xml:space="preserve">The CIV will target infrastructure opportunities that offer the appropriate levels of risk/return for the </w:t>
            </w:r>
            <w:r w:rsidR="009F15E9">
              <w:rPr>
                <w:rFonts w:ascii="Calibri" w:hAnsi="Calibri" w:cs="Arial"/>
                <w:color w:val="2F5496" w:themeColor="accent5" w:themeShade="BF"/>
                <w:sz w:val="24"/>
                <w:szCs w:val="24"/>
              </w:rPr>
              <w:t>London Local Authorities</w:t>
            </w:r>
            <w:r>
              <w:rPr>
                <w:rFonts w:ascii="Calibri" w:hAnsi="Calibri" w:cs="Arial"/>
                <w:color w:val="2F5496" w:themeColor="accent5" w:themeShade="BF"/>
                <w:sz w:val="24"/>
                <w:szCs w:val="24"/>
              </w:rPr>
              <w:t xml:space="preserve"> to be able to make informed decisions about their asset allocation to this asset class. The CIV will ensure that it works closely with other pools and with individual funds and their advisors to ensure that the requisite knowledge and skills are available to make informed decisions.</w:t>
            </w:r>
          </w:p>
          <w:p w:rsidR="00092E30" w:rsidRPr="00432E20" w:rsidRDefault="00092E30" w:rsidP="00092E30">
            <w:pPr>
              <w:pStyle w:val="ListParagraph"/>
              <w:spacing w:line="360" w:lineRule="auto"/>
              <w:ind w:left="1080"/>
              <w:rPr>
                <w:rFonts w:ascii="Calibri" w:hAnsi="Calibri" w:cs="Arial"/>
                <w:sz w:val="24"/>
                <w:szCs w:val="24"/>
              </w:rPr>
            </w:pPr>
          </w:p>
        </w:tc>
      </w:tr>
    </w:tbl>
    <w:p w:rsidR="00095E0E" w:rsidRPr="00967E40" w:rsidRDefault="00095E0E" w:rsidP="00A7164B">
      <w:pPr>
        <w:spacing w:after="0" w:line="360" w:lineRule="auto"/>
        <w:rPr>
          <w:rFonts w:ascii="Calibri" w:hAnsi="Calibri" w:cs="Arial"/>
          <w:sz w:val="24"/>
          <w:szCs w:val="24"/>
        </w:rPr>
      </w:pPr>
    </w:p>
    <w:sectPr w:rsidR="00095E0E" w:rsidRPr="00967E40" w:rsidSect="00A175A0">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68B" w:rsidRDefault="00FB468B" w:rsidP="006E6B7F">
      <w:pPr>
        <w:spacing w:after="0" w:line="240" w:lineRule="auto"/>
      </w:pPr>
      <w:r>
        <w:separator/>
      </w:r>
    </w:p>
  </w:endnote>
  <w:endnote w:type="continuationSeparator" w:id="0">
    <w:p w:rsidR="00FB468B" w:rsidRDefault="00FB468B" w:rsidP="006E6B7F">
      <w:pPr>
        <w:spacing w:after="0" w:line="240" w:lineRule="auto"/>
      </w:pPr>
      <w:r>
        <w:continuationSeparator/>
      </w:r>
    </w:p>
  </w:endnote>
  <w:endnote w:type="continuationNotice" w:id="1">
    <w:p w:rsidR="00FB468B" w:rsidRDefault="00FB4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95" w:rsidRDefault="00EF5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8B" w:rsidRDefault="00FB468B" w:rsidP="00A56BCB">
    <w:pPr>
      <w:pStyle w:val="Footer"/>
      <w:jc w:val="right"/>
    </w:pPr>
    <w:r w:rsidRPr="00A56BCB">
      <w:fldChar w:fldCharType="begin"/>
    </w:r>
    <w:r>
      <w:instrText xml:space="preserve"> PAGE   \* MERGEFORMAT </w:instrText>
    </w:r>
    <w:r w:rsidRPr="00A56BCB">
      <w:fldChar w:fldCharType="separate"/>
    </w:r>
    <w:r w:rsidR="00937935" w:rsidRPr="00937935">
      <w:rPr>
        <w:b/>
        <w:noProof/>
      </w:rPr>
      <w:t>1</w:t>
    </w:r>
    <w:r w:rsidRPr="00A56BCB">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95" w:rsidRDefault="00EF5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68B" w:rsidRDefault="00FB468B" w:rsidP="006E6B7F">
      <w:pPr>
        <w:spacing w:after="0" w:line="240" w:lineRule="auto"/>
      </w:pPr>
      <w:r>
        <w:separator/>
      </w:r>
    </w:p>
  </w:footnote>
  <w:footnote w:type="continuationSeparator" w:id="0">
    <w:p w:rsidR="00FB468B" w:rsidRDefault="00FB468B" w:rsidP="006E6B7F">
      <w:pPr>
        <w:spacing w:after="0" w:line="240" w:lineRule="auto"/>
      </w:pPr>
      <w:r>
        <w:continuationSeparator/>
      </w:r>
    </w:p>
  </w:footnote>
  <w:footnote w:type="continuationNotice" w:id="1">
    <w:p w:rsidR="00FB468B" w:rsidRDefault="00FB46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8B" w:rsidRDefault="009379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49164" o:spid="_x0000_s2053" type="#_x0000_t136" style="position:absolute;margin-left:0;margin-top:0;width:429.4pt;height:257.6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8B" w:rsidRDefault="009379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49165" o:spid="_x0000_s2054" type="#_x0000_t136" style="position:absolute;margin-left:0;margin-top:0;width:429.4pt;height:257.6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8B" w:rsidRDefault="009379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49163" o:spid="_x0000_s2052" type="#_x0000_t136" style="position:absolute;margin-left:0;margin-top:0;width:429.4pt;height:257.6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92B"/>
    <w:multiLevelType w:val="hybridMultilevel"/>
    <w:tmpl w:val="FDC4F816"/>
    <w:lvl w:ilvl="0" w:tplc="60B458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21174E"/>
    <w:multiLevelType w:val="hybridMultilevel"/>
    <w:tmpl w:val="8C60E8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91F1C85"/>
    <w:multiLevelType w:val="hybridMultilevel"/>
    <w:tmpl w:val="ACA23148"/>
    <w:lvl w:ilvl="0" w:tplc="736A34C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9C170B1"/>
    <w:multiLevelType w:val="hybridMultilevel"/>
    <w:tmpl w:val="FF0E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B1DCD"/>
    <w:multiLevelType w:val="hybridMultilevel"/>
    <w:tmpl w:val="953A4082"/>
    <w:lvl w:ilvl="0" w:tplc="60B458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5772C86"/>
    <w:multiLevelType w:val="hybridMultilevel"/>
    <w:tmpl w:val="7D8A803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470E46"/>
    <w:multiLevelType w:val="hybridMultilevel"/>
    <w:tmpl w:val="6FFEDF8C"/>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7">
    <w:nsid w:val="228F719A"/>
    <w:multiLevelType w:val="hybridMultilevel"/>
    <w:tmpl w:val="C3C631DC"/>
    <w:lvl w:ilvl="0" w:tplc="2424E6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47B34D9"/>
    <w:multiLevelType w:val="hybridMultilevel"/>
    <w:tmpl w:val="5FA49CFA"/>
    <w:lvl w:ilvl="0" w:tplc="0809000F">
      <w:start w:val="1"/>
      <w:numFmt w:val="decimal"/>
      <w:lvlText w:val="%1."/>
      <w:lvlJc w:val="left"/>
      <w:pPr>
        <w:ind w:left="1447" w:hanging="360"/>
      </w:p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abstractNum w:abstractNumId="9">
    <w:nsid w:val="249F1794"/>
    <w:multiLevelType w:val="hybridMultilevel"/>
    <w:tmpl w:val="9F809A4C"/>
    <w:lvl w:ilvl="0" w:tplc="0809000F">
      <w:start w:val="1"/>
      <w:numFmt w:val="decimal"/>
      <w:lvlText w:val="%1."/>
      <w:lvlJc w:val="left"/>
      <w:pPr>
        <w:ind w:left="1080" w:hanging="360"/>
      </w:pPr>
      <w:rPr>
        <w:rFonts w:hint="default"/>
      </w:rPr>
    </w:lvl>
    <w:lvl w:ilvl="1" w:tplc="E4CC167A">
      <w:start w:val="1"/>
      <w:numFmt w:val="decimal"/>
      <w:lvlText w:val="%2."/>
      <w:lvlJc w:val="left"/>
      <w:pPr>
        <w:ind w:left="1800" w:hanging="360"/>
      </w:pPr>
      <w:rPr>
        <w:rFonts w:hint="default"/>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94D291F"/>
    <w:multiLevelType w:val="hybridMultilevel"/>
    <w:tmpl w:val="8C32D92C"/>
    <w:lvl w:ilvl="0" w:tplc="A84CFF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9EB49B3"/>
    <w:multiLevelType w:val="hybridMultilevel"/>
    <w:tmpl w:val="4B44E1BC"/>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12">
    <w:nsid w:val="2F004BE8"/>
    <w:multiLevelType w:val="hybridMultilevel"/>
    <w:tmpl w:val="0100D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142038"/>
    <w:multiLevelType w:val="hybridMultilevel"/>
    <w:tmpl w:val="953A4082"/>
    <w:lvl w:ilvl="0" w:tplc="60B458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14429AD"/>
    <w:multiLevelType w:val="hybridMultilevel"/>
    <w:tmpl w:val="3DFC55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B03EB7"/>
    <w:multiLevelType w:val="hybridMultilevel"/>
    <w:tmpl w:val="75D27F40"/>
    <w:lvl w:ilvl="0" w:tplc="0809000B">
      <w:start w:val="1"/>
      <w:numFmt w:val="bullet"/>
      <w:lvlText w:val=""/>
      <w:lvlJc w:val="left"/>
      <w:pPr>
        <w:ind w:left="2167" w:hanging="360"/>
      </w:pPr>
      <w:rPr>
        <w:rFonts w:ascii="Wingdings" w:hAnsi="Wingdings" w:hint="default"/>
      </w:rPr>
    </w:lvl>
    <w:lvl w:ilvl="1" w:tplc="08090003" w:tentative="1">
      <w:start w:val="1"/>
      <w:numFmt w:val="bullet"/>
      <w:lvlText w:val="o"/>
      <w:lvlJc w:val="left"/>
      <w:pPr>
        <w:ind w:left="2887" w:hanging="360"/>
      </w:pPr>
      <w:rPr>
        <w:rFonts w:ascii="Courier New" w:hAnsi="Courier New" w:cs="Courier New" w:hint="default"/>
      </w:rPr>
    </w:lvl>
    <w:lvl w:ilvl="2" w:tplc="08090005" w:tentative="1">
      <w:start w:val="1"/>
      <w:numFmt w:val="bullet"/>
      <w:lvlText w:val=""/>
      <w:lvlJc w:val="left"/>
      <w:pPr>
        <w:ind w:left="3607" w:hanging="360"/>
      </w:pPr>
      <w:rPr>
        <w:rFonts w:ascii="Wingdings" w:hAnsi="Wingdings" w:hint="default"/>
      </w:rPr>
    </w:lvl>
    <w:lvl w:ilvl="3" w:tplc="08090001" w:tentative="1">
      <w:start w:val="1"/>
      <w:numFmt w:val="bullet"/>
      <w:lvlText w:val=""/>
      <w:lvlJc w:val="left"/>
      <w:pPr>
        <w:ind w:left="4327" w:hanging="360"/>
      </w:pPr>
      <w:rPr>
        <w:rFonts w:ascii="Symbol" w:hAnsi="Symbol" w:hint="default"/>
      </w:rPr>
    </w:lvl>
    <w:lvl w:ilvl="4" w:tplc="08090003" w:tentative="1">
      <w:start w:val="1"/>
      <w:numFmt w:val="bullet"/>
      <w:lvlText w:val="o"/>
      <w:lvlJc w:val="left"/>
      <w:pPr>
        <w:ind w:left="5047" w:hanging="360"/>
      </w:pPr>
      <w:rPr>
        <w:rFonts w:ascii="Courier New" w:hAnsi="Courier New" w:cs="Courier New" w:hint="default"/>
      </w:rPr>
    </w:lvl>
    <w:lvl w:ilvl="5" w:tplc="08090005" w:tentative="1">
      <w:start w:val="1"/>
      <w:numFmt w:val="bullet"/>
      <w:lvlText w:val=""/>
      <w:lvlJc w:val="left"/>
      <w:pPr>
        <w:ind w:left="5767" w:hanging="360"/>
      </w:pPr>
      <w:rPr>
        <w:rFonts w:ascii="Wingdings" w:hAnsi="Wingdings" w:hint="default"/>
      </w:rPr>
    </w:lvl>
    <w:lvl w:ilvl="6" w:tplc="08090001" w:tentative="1">
      <w:start w:val="1"/>
      <w:numFmt w:val="bullet"/>
      <w:lvlText w:val=""/>
      <w:lvlJc w:val="left"/>
      <w:pPr>
        <w:ind w:left="6487" w:hanging="360"/>
      </w:pPr>
      <w:rPr>
        <w:rFonts w:ascii="Symbol" w:hAnsi="Symbol" w:hint="default"/>
      </w:rPr>
    </w:lvl>
    <w:lvl w:ilvl="7" w:tplc="08090003" w:tentative="1">
      <w:start w:val="1"/>
      <w:numFmt w:val="bullet"/>
      <w:lvlText w:val="o"/>
      <w:lvlJc w:val="left"/>
      <w:pPr>
        <w:ind w:left="7207" w:hanging="360"/>
      </w:pPr>
      <w:rPr>
        <w:rFonts w:ascii="Courier New" w:hAnsi="Courier New" w:cs="Courier New" w:hint="default"/>
      </w:rPr>
    </w:lvl>
    <w:lvl w:ilvl="8" w:tplc="08090005" w:tentative="1">
      <w:start w:val="1"/>
      <w:numFmt w:val="bullet"/>
      <w:lvlText w:val=""/>
      <w:lvlJc w:val="left"/>
      <w:pPr>
        <w:ind w:left="7927" w:hanging="360"/>
      </w:pPr>
      <w:rPr>
        <w:rFonts w:ascii="Wingdings" w:hAnsi="Wingdings" w:hint="default"/>
      </w:rPr>
    </w:lvl>
  </w:abstractNum>
  <w:abstractNum w:abstractNumId="16">
    <w:nsid w:val="3465440D"/>
    <w:multiLevelType w:val="hybridMultilevel"/>
    <w:tmpl w:val="57DE6F42"/>
    <w:lvl w:ilvl="0" w:tplc="98A6B9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5506B41"/>
    <w:multiLevelType w:val="hybridMultilevel"/>
    <w:tmpl w:val="B6A8DF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3740415B"/>
    <w:multiLevelType w:val="hybridMultilevel"/>
    <w:tmpl w:val="2ACA1314"/>
    <w:lvl w:ilvl="0" w:tplc="23E8E1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7740A49"/>
    <w:multiLevelType w:val="hybridMultilevel"/>
    <w:tmpl w:val="769E2B46"/>
    <w:lvl w:ilvl="0" w:tplc="0809000B">
      <w:start w:val="1"/>
      <w:numFmt w:val="bullet"/>
      <w:lvlText w:val=""/>
      <w:lvlJc w:val="left"/>
      <w:pPr>
        <w:ind w:left="2143" w:hanging="360"/>
      </w:pPr>
      <w:rPr>
        <w:rFonts w:ascii="Wingdings" w:hAnsi="Wingdings"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nsid w:val="39A94965"/>
    <w:multiLevelType w:val="hybridMultilevel"/>
    <w:tmpl w:val="C68457C2"/>
    <w:lvl w:ilvl="0" w:tplc="56B619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75259D"/>
    <w:multiLevelType w:val="hybridMultilevel"/>
    <w:tmpl w:val="6AF6D9D4"/>
    <w:lvl w:ilvl="0" w:tplc="E9863EE0">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B92006"/>
    <w:multiLevelType w:val="hybridMultilevel"/>
    <w:tmpl w:val="BA26F0A0"/>
    <w:lvl w:ilvl="0" w:tplc="2ECEE9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E9C2A8E"/>
    <w:multiLevelType w:val="hybridMultilevel"/>
    <w:tmpl w:val="C68457C2"/>
    <w:lvl w:ilvl="0" w:tplc="56B619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84738B"/>
    <w:multiLevelType w:val="hybridMultilevel"/>
    <w:tmpl w:val="49D60DF8"/>
    <w:lvl w:ilvl="0" w:tplc="BE10F99C">
      <w:start w:val="5"/>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3F7AF0"/>
    <w:multiLevelType w:val="hybridMultilevel"/>
    <w:tmpl w:val="31FAB17C"/>
    <w:lvl w:ilvl="0" w:tplc="D328527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0B0C8F"/>
    <w:multiLevelType w:val="hybridMultilevel"/>
    <w:tmpl w:val="B7F275FA"/>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27">
    <w:nsid w:val="48301BFF"/>
    <w:multiLevelType w:val="hybridMultilevel"/>
    <w:tmpl w:val="DFDC800C"/>
    <w:lvl w:ilvl="0" w:tplc="D29404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255BF6"/>
    <w:multiLevelType w:val="hybridMultilevel"/>
    <w:tmpl w:val="C68457C2"/>
    <w:lvl w:ilvl="0" w:tplc="56B619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B061E3"/>
    <w:multiLevelType w:val="hybridMultilevel"/>
    <w:tmpl w:val="8F8C906A"/>
    <w:lvl w:ilvl="0" w:tplc="48B24DDE">
      <w:start w:val="2"/>
      <w:numFmt w:val="bullet"/>
      <w:lvlText w:val=""/>
      <w:lvlJc w:val="left"/>
      <w:pPr>
        <w:ind w:left="1080" w:hanging="360"/>
      </w:pPr>
      <w:rPr>
        <w:rFonts w:ascii="Wingdings" w:eastAsiaTheme="minorHAns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6CF7D2F"/>
    <w:multiLevelType w:val="hybridMultilevel"/>
    <w:tmpl w:val="ACA23148"/>
    <w:lvl w:ilvl="0" w:tplc="736A34C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86B5704"/>
    <w:multiLevelType w:val="hybridMultilevel"/>
    <w:tmpl w:val="BC6AD84C"/>
    <w:lvl w:ilvl="0" w:tplc="D5EC739C">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AFD6C50"/>
    <w:multiLevelType w:val="hybridMultilevel"/>
    <w:tmpl w:val="C81A17C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BA04A42"/>
    <w:multiLevelType w:val="hybridMultilevel"/>
    <w:tmpl w:val="90C68EB2"/>
    <w:lvl w:ilvl="0" w:tplc="E7C62A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72341F"/>
    <w:multiLevelType w:val="hybridMultilevel"/>
    <w:tmpl w:val="3C2E3706"/>
    <w:lvl w:ilvl="0" w:tplc="2DF8C9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4EC7E2B"/>
    <w:multiLevelType w:val="hybridMultilevel"/>
    <w:tmpl w:val="E4CABB92"/>
    <w:lvl w:ilvl="0" w:tplc="EEEC540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ED16A6"/>
    <w:multiLevelType w:val="hybridMultilevel"/>
    <w:tmpl w:val="E33030BE"/>
    <w:lvl w:ilvl="0" w:tplc="77DCD7D0">
      <w:start w:val="1"/>
      <w:numFmt w:val="bullet"/>
      <w:lvlText w:val=""/>
      <w:lvlJc w:val="left"/>
      <w:pPr>
        <w:ind w:left="720" w:hanging="360"/>
      </w:pPr>
      <w:rPr>
        <w:rFonts w:ascii="Symbol" w:hAnsi="Symbol"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FD582B"/>
    <w:multiLevelType w:val="hybridMultilevel"/>
    <w:tmpl w:val="0100D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E5660C"/>
    <w:multiLevelType w:val="hybridMultilevel"/>
    <w:tmpl w:val="953A4082"/>
    <w:lvl w:ilvl="0" w:tplc="60B458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0B81696"/>
    <w:multiLevelType w:val="hybridMultilevel"/>
    <w:tmpl w:val="5A7A8D6C"/>
    <w:lvl w:ilvl="0" w:tplc="E42E5B02">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797355"/>
    <w:multiLevelType w:val="hybridMultilevel"/>
    <w:tmpl w:val="98461CC6"/>
    <w:lvl w:ilvl="0" w:tplc="52840DD4">
      <w:start w:val="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610FDF"/>
    <w:multiLevelType w:val="hybridMultilevel"/>
    <w:tmpl w:val="1542F800"/>
    <w:lvl w:ilvl="0" w:tplc="2424E6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531A20"/>
    <w:multiLevelType w:val="hybridMultilevel"/>
    <w:tmpl w:val="57DE6F42"/>
    <w:lvl w:ilvl="0" w:tplc="98A6B9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F054406"/>
    <w:multiLevelType w:val="hybridMultilevel"/>
    <w:tmpl w:val="C3C631DC"/>
    <w:lvl w:ilvl="0" w:tplc="2424E6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FF12477"/>
    <w:multiLevelType w:val="hybridMultilevel"/>
    <w:tmpl w:val="ACA23148"/>
    <w:lvl w:ilvl="0" w:tplc="736A34C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41"/>
  </w:num>
  <w:num w:numId="3">
    <w:abstractNumId w:val="27"/>
  </w:num>
  <w:num w:numId="4">
    <w:abstractNumId w:val="33"/>
  </w:num>
  <w:num w:numId="5">
    <w:abstractNumId w:val="3"/>
  </w:num>
  <w:num w:numId="6">
    <w:abstractNumId w:val="20"/>
  </w:num>
  <w:num w:numId="7">
    <w:abstractNumId w:val="34"/>
  </w:num>
  <w:num w:numId="8">
    <w:abstractNumId w:val="14"/>
  </w:num>
  <w:num w:numId="9">
    <w:abstractNumId w:val="32"/>
  </w:num>
  <w:num w:numId="10">
    <w:abstractNumId w:val="0"/>
  </w:num>
  <w:num w:numId="11">
    <w:abstractNumId w:val="10"/>
  </w:num>
  <w:num w:numId="12">
    <w:abstractNumId w:val="22"/>
  </w:num>
  <w:num w:numId="13">
    <w:abstractNumId w:val="18"/>
  </w:num>
  <w:num w:numId="14">
    <w:abstractNumId w:val="13"/>
  </w:num>
  <w:num w:numId="15">
    <w:abstractNumId w:val="16"/>
  </w:num>
  <w:num w:numId="16">
    <w:abstractNumId w:val="44"/>
  </w:num>
  <w:num w:numId="17">
    <w:abstractNumId w:val="30"/>
  </w:num>
  <w:num w:numId="18">
    <w:abstractNumId w:val="23"/>
  </w:num>
  <w:num w:numId="19">
    <w:abstractNumId w:val="28"/>
  </w:num>
  <w:num w:numId="20">
    <w:abstractNumId w:val="4"/>
  </w:num>
  <w:num w:numId="21">
    <w:abstractNumId w:val="38"/>
  </w:num>
  <w:num w:numId="22">
    <w:abstractNumId w:val="24"/>
  </w:num>
  <w:num w:numId="23">
    <w:abstractNumId w:val="42"/>
  </w:num>
  <w:num w:numId="24">
    <w:abstractNumId w:val="25"/>
  </w:num>
  <w:num w:numId="25">
    <w:abstractNumId w:val="2"/>
  </w:num>
  <w:num w:numId="26">
    <w:abstractNumId w:val="21"/>
  </w:num>
  <w:num w:numId="27">
    <w:abstractNumId w:val="35"/>
  </w:num>
  <w:num w:numId="28">
    <w:abstractNumId w:val="39"/>
  </w:num>
  <w:num w:numId="29">
    <w:abstractNumId w:val="7"/>
  </w:num>
  <w:num w:numId="30">
    <w:abstractNumId w:val="40"/>
  </w:num>
  <w:num w:numId="31">
    <w:abstractNumId w:val="43"/>
  </w:num>
  <w:num w:numId="32">
    <w:abstractNumId w:val="26"/>
  </w:num>
  <w:num w:numId="33">
    <w:abstractNumId w:val="19"/>
  </w:num>
  <w:num w:numId="34">
    <w:abstractNumId w:val="37"/>
  </w:num>
  <w:num w:numId="35">
    <w:abstractNumId w:val="29"/>
  </w:num>
  <w:num w:numId="36">
    <w:abstractNumId w:val="8"/>
  </w:num>
  <w:num w:numId="37">
    <w:abstractNumId w:val="36"/>
  </w:num>
  <w:num w:numId="38">
    <w:abstractNumId w:val="31"/>
  </w:num>
  <w:num w:numId="39">
    <w:abstractNumId w:val="11"/>
  </w:num>
  <w:num w:numId="40">
    <w:abstractNumId w:val="6"/>
  </w:num>
  <w:num w:numId="41">
    <w:abstractNumId w:val="17"/>
  </w:num>
  <w:num w:numId="42">
    <w:abstractNumId w:val="1"/>
  </w:num>
  <w:num w:numId="43">
    <w:abstractNumId w:val="9"/>
  </w:num>
  <w:num w:numId="44">
    <w:abstractNumId w:val="5"/>
  </w:num>
  <w:num w:numId="45">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B0"/>
    <w:rsid w:val="000168E3"/>
    <w:rsid w:val="00020371"/>
    <w:rsid w:val="000273E3"/>
    <w:rsid w:val="0004250E"/>
    <w:rsid w:val="00056EFB"/>
    <w:rsid w:val="0006508F"/>
    <w:rsid w:val="000732FD"/>
    <w:rsid w:val="00092E30"/>
    <w:rsid w:val="00095E0E"/>
    <w:rsid w:val="000A2E78"/>
    <w:rsid w:val="000C285D"/>
    <w:rsid w:val="000D0959"/>
    <w:rsid w:val="000D1196"/>
    <w:rsid w:val="000D221C"/>
    <w:rsid w:val="000D7CAC"/>
    <w:rsid w:val="000E3766"/>
    <w:rsid w:val="000F0E0F"/>
    <w:rsid w:val="00100036"/>
    <w:rsid w:val="00106ACC"/>
    <w:rsid w:val="00106B56"/>
    <w:rsid w:val="00123396"/>
    <w:rsid w:val="00126615"/>
    <w:rsid w:val="00130A59"/>
    <w:rsid w:val="0013544D"/>
    <w:rsid w:val="00141F6B"/>
    <w:rsid w:val="00160090"/>
    <w:rsid w:val="00172B45"/>
    <w:rsid w:val="00184D77"/>
    <w:rsid w:val="00187545"/>
    <w:rsid w:val="00197913"/>
    <w:rsid w:val="001A4E21"/>
    <w:rsid w:val="001A4E2D"/>
    <w:rsid w:val="001B1F71"/>
    <w:rsid w:val="001B36CE"/>
    <w:rsid w:val="001C7C0B"/>
    <w:rsid w:val="001E0C4C"/>
    <w:rsid w:val="001E2D6F"/>
    <w:rsid w:val="001E51D9"/>
    <w:rsid w:val="001F3FCF"/>
    <w:rsid w:val="001F5E7C"/>
    <w:rsid w:val="00202A2A"/>
    <w:rsid w:val="00203847"/>
    <w:rsid w:val="002052C2"/>
    <w:rsid w:val="00212CFF"/>
    <w:rsid w:val="0023620F"/>
    <w:rsid w:val="00237ACD"/>
    <w:rsid w:val="002452B7"/>
    <w:rsid w:val="002554C7"/>
    <w:rsid w:val="002604D2"/>
    <w:rsid w:val="002722D7"/>
    <w:rsid w:val="002917FE"/>
    <w:rsid w:val="00292B56"/>
    <w:rsid w:val="00292E8D"/>
    <w:rsid w:val="002B1ABA"/>
    <w:rsid w:val="002B316D"/>
    <w:rsid w:val="002B3F07"/>
    <w:rsid w:val="002B44F8"/>
    <w:rsid w:val="002D7C64"/>
    <w:rsid w:val="002E1FD8"/>
    <w:rsid w:val="0031365D"/>
    <w:rsid w:val="003359D8"/>
    <w:rsid w:val="003367F9"/>
    <w:rsid w:val="00367349"/>
    <w:rsid w:val="0037618D"/>
    <w:rsid w:val="0038370D"/>
    <w:rsid w:val="00386372"/>
    <w:rsid w:val="003913D6"/>
    <w:rsid w:val="00394270"/>
    <w:rsid w:val="003A5351"/>
    <w:rsid w:val="003B3BB8"/>
    <w:rsid w:val="003B3D49"/>
    <w:rsid w:val="003B54DF"/>
    <w:rsid w:val="003D11C1"/>
    <w:rsid w:val="003D3964"/>
    <w:rsid w:val="003D4DA1"/>
    <w:rsid w:val="003E2035"/>
    <w:rsid w:val="003F625C"/>
    <w:rsid w:val="00405E5A"/>
    <w:rsid w:val="00406134"/>
    <w:rsid w:val="00412637"/>
    <w:rsid w:val="00426019"/>
    <w:rsid w:val="00426546"/>
    <w:rsid w:val="00432E20"/>
    <w:rsid w:val="0047760E"/>
    <w:rsid w:val="00481C44"/>
    <w:rsid w:val="004A5014"/>
    <w:rsid w:val="004A7078"/>
    <w:rsid w:val="004B5C3C"/>
    <w:rsid w:val="004C181B"/>
    <w:rsid w:val="004C2909"/>
    <w:rsid w:val="004F3A90"/>
    <w:rsid w:val="00507352"/>
    <w:rsid w:val="00507BBF"/>
    <w:rsid w:val="00532FD6"/>
    <w:rsid w:val="00545372"/>
    <w:rsid w:val="005556F4"/>
    <w:rsid w:val="00557ED1"/>
    <w:rsid w:val="0056206D"/>
    <w:rsid w:val="00585FBC"/>
    <w:rsid w:val="005A4539"/>
    <w:rsid w:val="005D5D10"/>
    <w:rsid w:val="00607D83"/>
    <w:rsid w:val="006123AD"/>
    <w:rsid w:val="00613CED"/>
    <w:rsid w:val="00613E72"/>
    <w:rsid w:val="00621380"/>
    <w:rsid w:val="006213CD"/>
    <w:rsid w:val="00621D0D"/>
    <w:rsid w:val="00634D3B"/>
    <w:rsid w:val="00635C9A"/>
    <w:rsid w:val="00647B58"/>
    <w:rsid w:val="00677309"/>
    <w:rsid w:val="00680290"/>
    <w:rsid w:val="006808EC"/>
    <w:rsid w:val="006E6B7F"/>
    <w:rsid w:val="006F34CC"/>
    <w:rsid w:val="00704CEF"/>
    <w:rsid w:val="0071371A"/>
    <w:rsid w:val="00721E22"/>
    <w:rsid w:val="0073330C"/>
    <w:rsid w:val="007375D8"/>
    <w:rsid w:val="0074688A"/>
    <w:rsid w:val="00764A8D"/>
    <w:rsid w:val="007745B8"/>
    <w:rsid w:val="00783AD3"/>
    <w:rsid w:val="007A6A98"/>
    <w:rsid w:val="007B454A"/>
    <w:rsid w:val="007B5356"/>
    <w:rsid w:val="007C29FD"/>
    <w:rsid w:val="007D4B77"/>
    <w:rsid w:val="007D5EA3"/>
    <w:rsid w:val="00817933"/>
    <w:rsid w:val="00853645"/>
    <w:rsid w:val="008575DF"/>
    <w:rsid w:val="00863104"/>
    <w:rsid w:val="00891AE9"/>
    <w:rsid w:val="008A2BEC"/>
    <w:rsid w:val="008D4FF3"/>
    <w:rsid w:val="008D6B80"/>
    <w:rsid w:val="008F2EA2"/>
    <w:rsid w:val="00904E3F"/>
    <w:rsid w:val="00906460"/>
    <w:rsid w:val="00912756"/>
    <w:rsid w:val="009134FF"/>
    <w:rsid w:val="009172C8"/>
    <w:rsid w:val="009323F0"/>
    <w:rsid w:val="00937935"/>
    <w:rsid w:val="00960C39"/>
    <w:rsid w:val="0096101E"/>
    <w:rsid w:val="00967E40"/>
    <w:rsid w:val="00970A3A"/>
    <w:rsid w:val="0097470A"/>
    <w:rsid w:val="00996B90"/>
    <w:rsid w:val="009D3CA8"/>
    <w:rsid w:val="009F0EAB"/>
    <w:rsid w:val="009F15E9"/>
    <w:rsid w:val="00A022A4"/>
    <w:rsid w:val="00A1418A"/>
    <w:rsid w:val="00A175A0"/>
    <w:rsid w:val="00A35436"/>
    <w:rsid w:val="00A405E2"/>
    <w:rsid w:val="00A562A0"/>
    <w:rsid w:val="00A56BCB"/>
    <w:rsid w:val="00A7164B"/>
    <w:rsid w:val="00A75C9E"/>
    <w:rsid w:val="00A80D21"/>
    <w:rsid w:val="00A91D8D"/>
    <w:rsid w:val="00AA34EC"/>
    <w:rsid w:val="00AC77B8"/>
    <w:rsid w:val="00AD1FA8"/>
    <w:rsid w:val="00B10EEC"/>
    <w:rsid w:val="00B14820"/>
    <w:rsid w:val="00B57CEA"/>
    <w:rsid w:val="00B73170"/>
    <w:rsid w:val="00B7340D"/>
    <w:rsid w:val="00B949B3"/>
    <w:rsid w:val="00BB0E3C"/>
    <w:rsid w:val="00BB7BAE"/>
    <w:rsid w:val="00BE1299"/>
    <w:rsid w:val="00BF7124"/>
    <w:rsid w:val="00C272E5"/>
    <w:rsid w:val="00C33BE6"/>
    <w:rsid w:val="00C528D7"/>
    <w:rsid w:val="00C5362D"/>
    <w:rsid w:val="00C64689"/>
    <w:rsid w:val="00C64CD3"/>
    <w:rsid w:val="00C75E19"/>
    <w:rsid w:val="00CC3459"/>
    <w:rsid w:val="00CC69CD"/>
    <w:rsid w:val="00CD0AA5"/>
    <w:rsid w:val="00CE2FCC"/>
    <w:rsid w:val="00CF0CA7"/>
    <w:rsid w:val="00CF1F00"/>
    <w:rsid w:val="00CF6237"/>
    <w:rsid w:val="00D0075F"/>
    <w:rsid w:val="00D00971"/>
    <w:rsid w:val="00D03711"/>
    <w:rsid w:val="00D121E9"/>
    <w:rsid w:val="00D14A2E"/>
    <w:rsid w:val="00D31F31"/>
    <w:rsid w:val="00D4352C"/>
    <w:rsid w:val="00D45B4D"/>
    <w:rsid w:val="00D618F0"/>
    <w:rsid w:val="00D6399D"/>
    <w:rsid w:val="00D6413A"/>
    <w:rsid w:val="00D76C32"/>
    <w:rsid w:val="00D826E5"/>
    <w:rsid w:val="00D83092"/>
    <w:rsid w:val="00DA1D95"/>
    <w:rsid w:val="00DA5ADB"/>
    <w:rsid w:val="00DC03D4"/>
    <w:rsid w:val="00DC4F81"/>
    <w:rsid w:val="00DE17AA"/>
    <w:rsid w:val="00E021D2"/>
    <w:rsid w:val="00E03A53"/>
    <w:rsid w:val="00E12611"/>
    <w:rsid w:val="00E67F34"/>
    <w:rsid w:val="00EA515E"/>
    <w:rsid w:val="00EA64C7"/>
    <w:rsid w:val="00EB4882"/>
    <w:rsid w:val="00EC1A77"/>
    <w:rsid w:val="00EC5114"/>
    <w:rsid w:val="00EC527C"/>
    <w:rsid w:val="00ED48CF"/>
    <w:rsid w:val="00EE21B0"/>
    <w:rsid w:val="00EF28F4"/>
    <w:rsid w:val="00EF5F95"/>
    <w:rsid w:val="00EF60E3"/>
    <w:rsid w:val="00F04F2E"/>
    <w:rsid w:val="00F111AE"/>
    <w:rsid w:val="00F20300"/>
    <w:rsid w:val="00F3593A"/>
    <w:rsid w:val="00F438FD"/>
    <w:rsid w:val="00F539CB"/>
    <w:rsid w:val="00F672EB"/>
    <w:rsid w:val="00F73282"/>
    <w:rsid w:val="00F91A61"/>
    <w:rsid w:val="00FB4598"/>
    <w:rsid w:val="00FB468B"/>
    <w:rsid w:val="00FC2E6D"/>
    <w:rsid w:val="00FD151F"/>
    <w:rsid w:val="00FE26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1B0"/>
    <w:pPr>
      <w:ind w:left="720"/>
      <w:contextualSpacing/>
    </w:pPr>
  </w:style>
  <w:style w:type="table" w:styleId="TableGrid">
    <w:name w:val="Table Grid"/>
    <w:basedOn w:val="TableNormal"/>
    <w:uiPriority w:val="39"/>
    <w:rsid w:val="001A4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6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B7F"/>
  </w:style>
  <w:style w:type="paragraph" w:styleId="Footer">
    <w:name w:val="footer"/>
    <w:basedOn w:val="Normal"/>
    <w:link w:val="FooterChar"/>
    <w:uiPriority w:val="99"/>
    <w:unhideWhenUsed/>
    <w:rsid w:val="006E6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B7F"/>
  </w:style>
  <w:style w:type="paragraph" w:styleId="BalloonText">
    <w:name w:val="Balloon Text"/>
    <w:basedOn w:val="Normal"/>
    <w:link w:val="BalloonTextChar"/>
    <w:uiPriority w:val="99"/>
    <w:semiHidden/>
    <w:unhideWhenUsed/>
    <w:rsid w:val="007B4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54A"/>
    <w:rPr>
      <w:rFonts w:ascii="Segoe UI" w:hAnsi="Segoe UI" w:cs="Segoe UI"/>
      <w:sz w:val="18"/>
      <w:szCs w:val="18"/>
    </w:rPr>
  </w:style>
  <w:style w:type="character" w:styleId="CommentReference">
    <w:name w:val="annotation reference"/>
    <w:basedOn w:val="DefaultParagraphFont"/>
    <w:uiPriority w:val="99"/>
    <w:semiHidden/>
    <w:unhideWhenUsed/>
    <w:rsid w:val="005D5D10"/>
    <w:rPr>
      <w:sz w:val="16"/>
      <w:szCs w:val="16"/>
    </w:rPr>
  </w:style>
  <w:style w:type="paragraph" w:styleId="CommentText">
    <w:name w:val="annotation text"/>
    <w:basedOn w:val="Normal"/>
    <w:link w:val="CommentTextChar"/>
    <w:uiPriority w:val="99"/>
    <w:semiHidden/>
    <w:unhideWhenUsed/>
    <w:rsid w:val="005D5D10"/>
    <w:pPr>
      <w:spacing w:line="240" w:lineRule="auto"/>
    </w:pPr>
    <w:rPr>
      <w:sz w:val="20"/>
      <w:szCs w:val="20"/>
    </w:rPr>
  </w:style>
  <w:style w:type="character" w:customStyle="1" w:styleId="CommentTextChar">
    <w:name w:val="Comment Text Char"/>
    <w:basedOn w:val="DefaultParagraphFont"/>
    <w:link w:val="CommentText"/>
    <w:uiPriority w:val="99"/>
    <w:semiHidden/>
    <w:rsid w:val="005D5D10"/>
    <w:rPr>
      <w:sz w:val="20"/>
      <w:szCs w:val="20"/>
    </w:rPr>
  </w:style>
  <w:style w:type="paragraph" w:styleId="CommentSubject">
    <w:name w:val="annotation subject"/>
    <w:basedOn w:val="CommentText"/>
    <w:next w:val="CommentText"/>
    <w:link w:val="CommentSubjectChar"/>
    <w:uiPriority w:val="99"/>
    <w:semiHidden/>
    <w:unhideWhenUsed/>
    <w:rsid w:val="005D5D10"/>
    <w:rPr>
      <w:b/>
      <w:bCs/>
    </w:rPr>
  </w:style>
  <w:style w:type="character" w:customStyle="1" w:styleId="CommentSubjectChar">
    <w:name w:val="Comment Subject Char"/>
    <w:basedOn w:val="CommentTextChar"/>
    <w:link w:val="CommentSubject"/>
    <w:uiPriority w:val="99"/>
    <w:semiHidden/>
    <w:rsid w:val="005D5D10"/>
    <w:rPr>
      <w:b/>
      <w:bCs/>
      <w:sz w:val="20"/>
      <w:szCs w:val="20"/>
    </w:rPr>
  </w:style>
  <w:style w:type="paragraph" w:styleId="Revision">
    <w:name w:val="Revision"/>
    <w:hidden/>
    <w:uiPriority w:val="99"/>
    <w:semiHidden/>
    <w:rsid w:val="00292B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1B0"/>
    <w:pPr>
      <w:ind w:left="720"/>
      <w:contextualSpacing/>
    </w:pPr>
  </w:style>
  <w:style w:type="table" w:styleId="TableGrid">
    <w:name w:val="Table Grid"/>
    <w:basedOn w:val="TableNormal"/>
    <w:uiPriority w:val="39"/>
    <w:rsid w:val="001A4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6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B7F"/>
  </w:style>
  <w:style w:type="paragraph" w:styleId="Footer">
    <w:name w:val="footer"/>
    <w:basedOn w:val="Normal"/>
    <w:link w:val="FooterChar"/>
    <w:uiPriority w:val="99"/>
    <w:unhideWhenUsed/>
    <w:rsid w:val="006E6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B7F"/>
  </w:style>
  <w:style w:type="paragraph" w:styleId="BalloonText">
    <w:name w:val="Balloon Text"/>
    <w:basedOn w:val="Normal"/>
    <w:link w:val="BalloonTextChar"/>
    <w:uiPriority w:val="99"/>
    <w:semiHidden/>
    <w:unhideWhenUsed/>
    <w:rsid w:val="007B4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54A"/>
    <w:rPr>
      <w:rFonts w:ascii="Segoe UI" w:hAnsi="Segoe UI" w:cs="Segoe UI"/>
      <w:sz w:val="18"/>
      <w:szCs w:val="18"/>
    </w:rPr>
  </w:style>
  <w:style w:type="character" w:styleId="CommentReference">
    <w:name w:val="annotation reference"/>
    <w:basedOn w:val="DefaultParagraphFont"/>
    <w:uiPriority w:val="99"/>
    <w:semiHidden/>
    <w:unhideWhenUsed/>
    <w:rsid w:val="005D5D10"/>
    <w:rPr>
      <w:sz w:val="16"/>
      <w:szCs w:val="16"/>
    </w:rPr>
  </w:style>
  <w:style w:type="paragraph" w:styleId="CommentText">
    <w:name w:val="annotation text"/>
    <w:basedOn w:val="Normal"/>
    <w:link w:val="CommentTextChar"/>
    <w:uiPriority w:val="99"/>
    <w:semiHidden/>
    <w:unhideWhenUsed/>
    <w:rsid w:val="005D5D10"/>
    <w:pPr>
      <w:spacing w:line="240" w:lineRule="auto"/>
    </w:pPr>
    <w:rPr>
      <w:sz w:val="20"/>
      <w:szCs w:val="20"/>
    </w:rPr>
  </w:style>
  <w:style w:type="character" w:customStyle="1" w:styleId="CommentTextChar">
    <w:name w:val="Comment Text Char"/>
    <w:basedOn w:val="DefaultParagraphFont"/>
    <w:link w:val="CommentText"/>
    <w:uiPriority w:val="99"/>
    <w:semiHidden/>
    <w:rsid w:val="005D5D10"/>
    <w:rPr>
      <w:sz w:val="20"/>
      <w:szCs w:val="20"/>
    </w:rPr>
  </w:style>
  <w:style w:type="paragraph" w:styleId="CommentSubject">
    <w:name w:val="annotation subject"/>
    <w:basedOn w:val="CommentText"/>
    <w:next w:val="CommentText"/>
    <w:link w:val="CommentSubjectChar"/>
    <w:uiPriority w:val="99"/>
    <w:semiHidden/>
    <w:unhideWhenUsed/>
    <w:rsid w:val="005D5D10"/>
    <w:rPr>
      <w:b/>
      <w:bCs/>
    </w:rPr>
  </w:style>
  <w:style w:type="character" w:customStyle="1" w:styleId="CommentSubjectChar">
    <w:name w:val="Comment Subject Char"/>
    <w:basedOn w:val="CommentTextChar"/>
    <w:link w:val="CommentSubject"/>
    <w:uiPriority w:val="99"/>
    <w:semiHidden/>
    <w:rsid w:val="005D5D10"/>
    <w:rPr>
      <w:b/>
      <w:bCs/>
      <w:sz w:val="20"/>
      <w:szCs w:val="20"/>
    </w:rPr>
  </w:style>
  <w:style w:type="paragraph" w:styleId="Revision">
    <w:name w:val="Revision"/>
    <w:hidden/>
    <w:uiPriority w:val="99"/>
    <w:semiHidden/>
    <w:rsid w:val="00292B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4391">
      <w:bodyDiv w:val="1"/>
      <w:marLeft w:val="0"/>
      <w:marRight w:val="0"/>
      <w:marTop w:val="0"/>
      <w:marBottom w:val="0"/>
      <w:divBdr>
        <w:top w:val="none" w:sz="0" w:space="0" w:color="auto"/>
        <w:left w:val="none" w:sz="0" w:space="0" w:color="auto"/>
        <w:bottom w:val="none" w:sz="0" w:space="0" w:color="auto"/>
        <w:right w:val="none" w:sz="0" w:space="0" w:color="auto"/>
      </w:divBdr>
    </w:div>
    <w:div w:id="888151268">
      <w:bodyDiv w:val="1"/>
      <w:marLeft w:val="0"/>
      <w:marRight w:val="0"/>
      <w:marTop w:val="0"/>
      <w:marBottom w:val="0"/>
      <w:divBdr>
        <w:top w:val="none" w:sz="0" w:space="0" w:color="auto"/>
        <w:left w:val="none" w:sz="0" w:space="0" w:color="auto"/>
        <w:bottom w:val="none" w:sz="0" w:space="0" w:color="auto"/>
        <w:right w:val="none" w:sz="0" w:space="0" w:color="auto"/>
      </w:divBdr>
    </w:div>
    <w:div w:id="1129978277">
      <w:bodyDiv w:val="1"/>
      <w:marLeft w:val="0"/>
      <w:marRight w:val="0"/>
      <w:marTop w:val="0"/>
      <w:marBottom w:val="0"/>
      <w:divBdr>
        <w:top w:val="none" w:sz="0" w:space="0" w:color="auto"/>
        <w:left w:val="none" w:sz="0" w:space="0" w:color="auto"/>
        <w:bottom w:val="none" w:sz="0" w:space="0" w:color="auto"/>
        <w:right w:val="none" w:sz="0" w:space="0" w:color="auto"/>
      </w:divBdr>
    </w:div>
    <w:div w:id="1318025016">
      <w:bodyDiv w:val="1"/>
      <w:marLeft w:val="0"/>
      <w:marRight w:val="0"/>
      <w:marTop w:val="0"/>
      <w:marBottom w:val="0"/>
      <w:divBdr>
        <w:top w:val="none" w:sz="0" w:space="0" w:color="auto"/>
        <w:left w:val="none" w:sz="0" w:space="0" w:color="auto"/>
        <w:bottom w:val="none" w:sz="0" w:space="0" w:color="auto"/>
        <w:right w:val="none" w:sz="0" w:space="0" w:color="auto"/>
      </w:divBdr>
    </w:div>
    <w:div w:id="1550608781">
      <w:bodyDiv w:val="1"/>
      <w:marLeft w:val="0"/>
      <w:marRight w:val="0"/>
      <w:marTop w:val="0"/>
      <w:marBottom w:val="0"/>
      <w:divBdr>
        <w:top w:val="none" w:sz="0" w:space="0" w:color="auto"/>
        <w:left w:val="none" w:sz="0" w:space="0" w:color="auto"/>
        <w:bottom w:val="none" w:sz="0" w:space="0" w:color="auto"/>
        <w:right w:val="none" w:sz="0" w:space="0" w:color="auto"/>
      </w:divBdr>
      <w:divsChild>
        <w:div w:id="79954920">
          <w:marLeft w:val="360"/>
          <w:marRight w:val="0"/>
          <w:marTop w:val="0"/>
          <w:marBottom w:val="0"/>
          <w:divBdr>
            <w:top w:val="none" w:sz="0" w:space="0" w:color="auto"/>
            <w:left w:val="none" w:sz="0" w:space="0" w:color="auto"/>
            <w:bottom w:val="none" w:sz="0" w:space="0" w:color="auto"/>
            <w:right w:val="none" w:sz="0" w:space="0" w:color="auto"/>
          </w:divBdr>
        </w:div>
      </w:divsChild>
    </w:div>
    <w:div w:id="1813714987">
      <w:bodyDiv w:val="1"/>
      <w:marLeft w:val="0"/>
      <w:marRight w:val="0"/>
      <w:marTop w:val="0"/>
      <w:marBottom w:val="0"/>
      <w:divBdr>
        <w:top w:val="none" w:sz="0" w:space="0" w:color="auto"/>
        <w:left w:val="none" w:sz="0" w:space="0" w:color="auto"/>
        <w:bottom w:val="none" w:sz="0" w:space="0" w:color="auto"/>
        <w:right w:val="none" w:sz="0" w:space="0" w:color="auto"/>
      </w:divBdr>
      <w:divsChild>
        <w:div w:id="184693721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2EA7-08A3-4491-9E90-829BB11272F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B2E6324-2A6C-43E4-96FF-AD9E9C27CB29}">
  <ds:schemaRefs>
    <ds:schemaRef ds:uri="http://schemas.openxmlformats.org/officeDocument/2006/bibliography"/>
  </ds:schemaRefs>
</ds:datastoreItem>
</file>

<file path=customXml/itemProps3.xml><?xml version="1.0" encoding="utf-8"?>
<ds:datastoreItem xmlns:ds="http://schemas.openxmlformats.org/officeDocument/2006/customXml" ds:itemID="{0B7B2311-76CB-445C-965D-C4BF9298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5547</Words>
  <Characters>31618</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37091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Houston</dc:creator>
  <cp:lastModifiedBy>Ian Talbot</cp:lastModifiedBy>
  <cp:revision>2</cp:revision>
  <cp:lastPrinted>2016-06-02T12:00:00Z</cp:lastPrinted>
  <dcterms:created xsi:type="dcterms:W3CDTF">2016-06-07T18:43:00Z</dcterms:created>
  <dcterms:modified xsi:type="dcterms:W3CDTF">2016-06-07T18:43:00Z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49d23e1f-6e36-44d8-b5fc-03e4c2006362</vt:lpwstr>
  </property>
  <property fmtid="{D5CDD505-2E9C-101B-9397-08002B2CF9AE}" pid="3" name="bjSaver">
    <vt:lpwstr>xsdP2MNxGkE1BYYowJk/eFpMaKCkGZtT</vt:lpwstr>
  </property>
  <property fmtid="{D5CDD505-2E9C-101B-9397-08002B2CF9AE}" pid="4" name="bjDocumentSecurityLabel">
    <vt:lpwstr>No Marking</vt:lpwstr>
  </property>
</Properties>
</file>